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rFonts w:ascii="Arial" w:hAnsi="Arial" w:eastAsia="Arial" w:cs="Arial"/>
          <w:b/>
          <w:sz w:val="32"/>
          <w:szCs w:val="32"/>
        </w:rPr>
      </w:pPr>
      <w:r>
        <w:rPr>
          <w:rFonts w:eastAsia="Arial" w:cs="Arial" w:ascii="Arial" w:hAnsi="Arial"/>
          <w:b/>
          <w:sz w:val="32"/>
          <w:szCs w:val="32"/>
        </w:rPr>
        <w:t>Akademia Muzyczna im. Karola Lipińskiego we Wrocławiu</w:t>
      </w:r>
    </w:p>
    <w:tbl>
      <w:tblPr>
        <w:tblStyle w:val="Table1"/>
        <w:tblW w:w="906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00"/>
      </w:tblPr>
      <w:tblGrid>
        <w:gridCol w:w="2279"/>
        <w:gridCol w:w="467"/>
        <w:gridCol w:w="248"/>
        <w:gridCol w:w="968"/>
        <w:gridCol w:w="367"/>
        <w:gridCol w:w="1195"/>
        <w:gridCol w:w="97"/>
        <w:gridCol w:w="381"/>
        <w:gridCol w:w="1362"/>
        <w:gridCol w:w="1698"/>
      </w:tblGrid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120" w:after="12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 xml:space="preserve">Nazwa przedmiotu: </w:t>
            </w:r>
            <w:r>
              <w:rPr>
                <w:rFonts w:eastAsia="Arial" w:cs="Arial" w:ascii="Arial" w:hAnsi="Arial"/>
                <w:sz w:val="20"/>
                <w:szCs w:val="20"/>
              </w:rPr>
              <w:t>Instrument główny</w:t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120" w:after="12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 xml:space="preserve">Jednostka prowadząca przedmiot: </w:t>
            </w:r>
            <w:r>
              <w:rPr>
                <w:rFonts w:eastAsia="Arial" w:cs="Arial" w:ascii="Arial" w:hAnsi="Arial"/>
                <w:sz w:val="20"/>
                <w:szCs w:val="20"/>
              </w:rPr>
              <w:t>Wydział Instrumentalny, Katedra Instrumentów Smyczkowych</w:t>
            </w:r>
          </w:p>
        </w:tc>
      </w:tr>
      <w:tr>
        <w:trPr/>
        <w:tc>
          <w:tcPr>
            <w:tcW w:w="432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120" w:after="12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 xml:space="preserve">Kierunek: </w:t>
            </w:r>
            <w:r>
              <w:rPr>
                <w:rFonts w:eastAsia="Arial" w:cs="Arial" w:ascii="Arial" w:hAnsi="Arial"/>
                <w:sz w:val="20"/>
                <w:szCs w:val="20"/>
              </w:rPr>
              <w:t>Instrumentalistyka</w:t>
            </w:r>
          </w:p>
        </w:tc>
        <w:tc>
          <w:tcPr>
            <w:tcW w:w="473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120" w:after="12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 xml:space="preserve">Zakres: </w:t>
            </w:r>
            <w:r>
              <w:rPr>
                <w:rFonts w:eastAsia="Arial" w:cs="Arial" w:ascii="Arial" w:hAnsi="Arial"/>
                <w:sz w:val="20"/>
                <w:szCs w:val="20"/>
              </w:rPr>
              <w:t>Skrzypce - profil kameralno                    - orkiestrowy</w:t>
            </w:r>
          </w:p>
        </w:tc>
      </w:tr>
      <w:tr>
        <w:trPr/>
        <w:tc>
          <w:tcPr>
            <w:tcW w:w="432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120" w:after="12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Forma i poziom studiów:</w:t>
            </w:r>
            <w:r>
              <w:rPr>
                <w:rFonts w:eastAsia="Arial" w:cs="Arial" w:ascii="Arial" w:hAnsi="Arial"/>
                <w:sz w:val="20"/>
                <w:szCs w:val="20"/>
              </w:rPr>
              <w:t xml:space="preserve"> 2-letnie studia stacjonarne/niestacjonarne II stopnia</w:t>
            </w:r>
          </w:p>
        </w:tc>
        <w:tc>
          <w:tcPr>
            <w:tcW w:w="473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120" w:after="12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 xml:space="preserve">Profil kształcenia: </w:t>
            </w:r>
            <w:r>
              <w:rPr>
                <w:rFonts w:eastAsia="Arial" w:cs="Arial" w:ascii="Arial" w:hAnsi="Arial"/>
                <w:sz w:val="20"/>
                <w:szCs w:val="20"/>
              </w:rPr>
              <w:t>ogólnoakademicki</w:t>
            </w:r>
          </w:p>
        </w:tc>
      </w:tr>
      <w:tr>
        <w:trPr/>
        <w:tc>
          <w:tcPr>
            <w:tcW w:w="27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120" w:after="12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 xml:space="preserve">Forma zajęć: </w:t>
            </w:r>
            <w:r>
              <w:rPr>
                <w:rFonts w:eastAsia="Arial" w:cs="Arial" w:ascii="Arial" w:hAnsi="Arial"/>
                <w:sz w:val="20"/>
                <w:szCs w:val="20"/>
              </w:rPr>
              <w:t>przedmiot główny</w:t>
            </w:r>
          </w:p>
        </w:tc>
        <w:tc>
          <w:tcPr>
            <w:tcW w:w="287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120" w:after="12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Rodzaj zajęć:</w:t>
            </w:r>
            <w:r>
              <w:rPr>
                <w:rFonts w:eastAsia="Arial" w:cs="Arial" w:ascii="Arial" w:hAnsi="Arial"/>
                <w:sz w:val="20"/>
                <w:szCs w:val="20"/>
              </w:rPr>
              <w:t xml:space="preserve"> indywidualne</w:t>
            </w:r>
          </w:p>
        </w:tc>
        <w:tc>
          <w:tcPr>
            <w:tcW w:w="34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120" w:after="12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 xml:space="preserve">Język przedmiotu: </w:t>
            </w:r>
            <w:r>
              <w:rPr>
                <w:rFonts w:eastAsia="Arial" w:cs="Arial" w:ascii="Arial" w:hAnsi="Arial"/>
                <w:sz w:val="20"/>
                <w:szCs w:val="20"/>
              </w:rPr>
              <w:t>polski, możliwość prowadzenia zajęć         w innych językach: angielski, niemiecki</w:t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120" w:after="120"/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Koordynator przedmiotu:</w:t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120" w:after="12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 xml:space="preserve">Prowadzący przedmiot: </w:t>
            </w:r>
            <w:r>
              <w:rPr>
                <w:rFonts w:eastAsia="Arial" w:cs="Arial" w:ascii="Arial" w:hAnsi="Arial"/>
                <w:sz w:val="20"/>
                <w:szCs w:val="20"/>
              </w:rPr>
              <w:t xml:space="preserve">prof. dr hab. Jarosław Pietrzak, prof. dr hab. Bartosz Bryła,                      dr hab. Christian Danowicz, dr hab. Viktor Kuznetsov, dr hab. Jacek Ropski, dr Magdalena Ziarkowska - Kołacka, dr Marcin Danilewski, mgr Radosław Pujanek, </w:t>
            </w:r>
            <w:r>
              <w:rPr>
                <w:rFonts w:eastAsia="Arial" w:cs="Arial" w:ascii="Arial" w:hAnsi="Arial"/>
                <w:sz w:val="20"/>
                <w:szCs w:val="20"/>
              </w:rPr>
              <w:t>mgr Katarzyna Szydłowska</w:t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  <w:t>CELE PRZEDMIOTU</w:t>
            </w:r>
          </w:p>
          <w:p>
            <w:pPr>
              <w:pStyle w:val="Normal"/>
              <w:jc w:val="center"/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Przygotowanie studenta do samodzielnej, kreatywnej pracy w zawodzie muzyka</w:t>
            </w:r>
          </w:p>
          <w:p>
            <w:pPr>
              <w:pStyle w:val="Normal"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Osiągnięcie przez studenta wysokiego poziomu posługiwania się warsztatem instrumentalnym.</w:t>
            </w:r>
          </w:p>
          <w:p>
            <w:pPr>
              <w:pStyle w:val="Normal"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Pogłębienie i rozwinięcie wiedzy oraz umiejętności studenta związanych ze ściśle określonym</w:t>
            </w:r>
          </w:p>
          <w:p>
            <w:pPr>
              <w:pStyle w:val="Normal"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   </w:t>
            </w:r>
            <w:r>
              <w:rPr>
                <w:rFonts w:eastAsia="Arial" w:cs="Arial" w:ascii="Arial" w:hAnsi="Arial"/>
                <w:sz w:val="20"/>
                <w:szCs w:val="20"/>
              </w:rPr>
              <w:t>zakresem</w:t>
            </w:r>
          </w:p>
          <w:p>
            <w:pPr>
              <w:pStyle w:val="Normal"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Umożliwienie specjalizowania się w dyscyplinach wymagających dalszych studiów</w:t>
            </w:r>
          </w:p>
          <w:p>
            <w:pPr>
              <w:pStyle w:val="Normal"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Przygotowanie studenta do podjęcia studiów doktoranckich, również o charakterze</w:t>
            </w:r>
          </w:p>
          <w:p>
            <w:pPr>
              <w:pStyle w:val="Normal"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   </w:t>
            </w:r>
            <w:r>
              <w:rPr>
                <w:rFonts w:eastAsia="Arial" w:cs="Arial" w:ascii="Arial" w:hAnsi="Arial"/>
                <w:sz w:val="20"/>
                <w:szCs w:val="20"/>
              </w:rPr>
              <w:t>interdyscyplinarnym</w:t>
            </w:r>
          </w:p>
          <w:p>
            <w:pPr>
              <w:pStyle w:val="Normal"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color w:val="000000"/>
                <w:sz w:val="20"/>
                <w:szCs w:val="20"/>
              </w:rPr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</w:r>
          </w:p>
          <w:p>
            <w:pPr>
              <w:pStyle w:val="Normal"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  <w:t>WYMAGANIA WSTĘPNE</w:t>
            </w:r>
          </w:p>
          <w:p>
            <w:pPr>
              <w:pStyle w:val="Normal"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Arial" w:hAnsi="Arial" w:eastAsia="Arial" w:cs="Arial"/>
                <w:color w:val="000000"/>
              </w:rPr>
            </w:pPr>
            <w:r>
              <w:rPr>
                <w:rFonts w:eastAsia="Arial" w:cs="Arial" w:ascii="Arial" w:hAnsi="Arial"/>
                <w:color w:val="000000"/>
              </w:rPr>
            </w:r>
          </w:p>
          <w:p>
            <w:pPr>
              <w:pStyle w:val="Normal"/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Opanowanie kompetencji instrumentalnych na poziomie właściwym dla danego etapu kształcenia</w:t>
            </w:r>
          </w:p>
          <w:p>
            <w:pPr>
              <w:pStyle w:val="Normal"/>
              <w:jc w:val="both"/>
              <w:rPr>
                <w:rFonts w:ascii="Arial" w:hAnsi="Arial" w:eastAsia="Arial" w:cs="Arial"/>
              </w:rPr>
            </w:pPr>
            <w:r>
              <w:rPr>
                <w:rFonts w:eastAsia="Arial" w:cs="Arial" w:ascii="Arial" w:hAnsi="Arial"/>
              </w:rPr>
            </w:r>
          </w:p>
        </w:tc>
      </w:tr>
      <w:tr>
        <w:trPr>
          <w:trHeight w:val="195" w:hRule="atLeast"/>
        </w:trPr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</w:r>
          </w:p>
          <w:p>
            <w:pPr>
              <w:pStyle w:val="Normal"/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  <w:t>TREŚCI PROGRAMOWE</w:t>
            </w:r>
          </w:p>
          <w:p>
            <w:pPr>
              <w:pStyle w:val="Normal"/>
              <w:jc w:val="center"/>
              <w:rPr>
                <w:rFonts w:ascii="Arial" w:hAnsi="Arial" w:eastAsia="Arial" w:cs="Arial"/>
                <w:b/>
                <w:color w:val="000000"/>
              </w:rPr>
            </w:pPr>
            <w:r>
              <w:rPr>
                <w:rFonts w:eastAsia="Arial" w:cs="Arial" w:ascii="Arial" w:hAnsi="Arial"/>
                <w:b/>
                <w:color w:val="000000"/>
              </w:rPr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rFonts w:ascii="Arial" w:hAnsi="Arial" w:eastAsia="Arial" w:cs="Arial"/>
              </w:rPr>
            </w:pPr>
            <w:r>
              <w:rPr>
                <w:rFonts w:eastAsia="Arial" w:cs="Arial" w:ascii="Arial" w:hAnsi="Arial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Aby poznać reprezentatywny repertuar skrzypcowy studenci zobowiązani są zrealizować najważniejsze pozycje repertuarowe - patrz: literatura podstawowa.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Umiejętności techniczne studentów sprawdzane są raz w roku na specjalnym kolokwium i obejmują zakres materiału technicznego (etiudy, małe formy instrumentalne). Jakkolwiek dopuszcza się możliwość względnie dużej elastyczności w realizowaniu programu (np. w związku z przygotowaniem się studenta do konkursów) to jednak stałe wymagania egzaminacyjne dotyczące programu, formy i zakresu prezentacji są niezmienne. Pozycje podane w literaturze podstawowej (tożsame z repertuarem wymaganym na egzaminach semestralnych) stanowią zakres programowy dla każdego studenta. Realizowany program jest również wyznaczony wymaganiami dotyczącymi egzaminu dyplomowego.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</w:r>
          </w:p>
          <w:p>
            <w:pPr>
              <w:pStyle w:val="Normal"/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  <w:t>EFEKTY UCZENIA SIĘ</w:t>
            </w:r>
          </w:p>
          <w:p>
            <w:pPr>
              <w:pStyle w:val="Normal"/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</w:r>
          </w:p>
          <w:p>
            <w:pPr>
              <w:pStyle w:val="Normal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  <w:t>Wiedza: absolwent zna i rozumie</w:t>
            </w:r>
          </w:p>
          <w:p>
            <w:pPr>
              <w:pStyle w:val="Normal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K_W01 - posiada gruntowną znajomość ogólnego repertuaru i związanych z nim tradycji wykonawczych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K_W02 - posiada szczegółową wiedzę dotyczącą repertuaru wybranej specjalności oraz posiada wiedzę dotyczącą związanego z nią piśmiennictwa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K_W04 - posiada wiedzę dotyczącą warsztatu badań teoretyczno-naukowych (dostęp do źródeł informacji, sposoby analizowania i syntezy danych, prawidłowego ich interpretowania)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K_W03 - posiada szeroką wiedzę dotyczącą kameralnej i orkiestrowej literatury muzycznej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K_W05 - posiada wiedzę dotyczącą swobodnego korzystania z różnorodnych mediów (książki, nagrania, materiały nutowe, Internet, nagrania archiwalne itp.) oraz umiejętność samodzielnego poszerzania i rozwijania wiedzy dotyczącej swojej specjalności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K_W06 - posiada poszerzoną wiedzę na temat kontekstu historycznego muzyki i jej związków z innymi dziedzinami współczesnego życia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K_W07 - posiada głębokie zrozumienie wzajemnych relacji pomiędzy teoretycznymi i praktycznymi elementami studiów oraz zdolność do integrowania nabytej wiedzy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K_W08 - posiada gruntowną wiedzę dotyczącą budowy instrumentów i ich ewentualnej konserwacji, napraw, strojenia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K_W09 - poprzez indywidualną pracę poszerza wiedzę dotyczącą improwizacji; jeżeli improwizacja jest związana ze specjalnością i zawarta w programie kształcenia, absolwent powinien dysponować szeroką wiedzą umożliwiającą swobodną improwizację w różnych kontekstach (A+B+E)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K_W10 - wykazuje się głębokim zrozumieniem i opanowaniem teorii pedagogiki oraz umiejętnościami jej zastosowania w praktyce, dającymi kwalifikacje do nauczania w zakresie swej specjalności na wszystkich poziomach edukacji muzycznej (A+B+D</w:t>
            </w:r>
          </w:p>
          <w:p>
            <w:pPr>
              <w:pStyle w:val="Normal"/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</w:r>
          </w:p>
          <w:p>
            <w:pPr>
              <w:pStyle w:val="Normal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  <w:t>Umiejętności: absolwent potrafi</w:t>
            </w:r>
          </w:p>
          <w:p>
            <w:pPr>
              <w:pStyle w:val="Normal"/>
              <w:rPr>
                <w:rFonts w:ascii="Arial" w:hAnsi="Arial" w:eastAsia="Arial" w:cs="Arial"/>
              </w:rPr>
            </w:pPr>
            <w:r>
              <w:rPr>
                <w:rFonts w:eastAsia="Arial" w:cs="Arial" w:ascii="Arial" w:hAnsi="Arial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K_U01 - posiada wysoko rozwiniętą osobowość artystyczną umożliwiającą tworzenie, realizowanie i wyrażanie własnych koncepcji artystycznych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K_U02 - samodzielnie interpretuje i wykonuje utwory muzyczne w oparciu o własne twórcze motywacje i inspiracje na wysokim poziomie profesjonalizmu, zgodnie z wymaganiami stylistycznymi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K_U03 - podczas realizacji własnych koncepcji artystycznych wykazuje się umiejętnością świadomego zastosowania wiedzy dotyczącej elementów dzieła muzycznego i obowiązujących wzorców formalnych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K_U04 - na bazie doświadczeń związanych z studiami pierwszego stopnia potrafi wykazywać się umiejętnością budowania i pogłębiania obszernego repertuaru w zakresie swojej specjalności, z możliwością specjalizowania się w wybranym obszarze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K_U05 - na podstawie wiedzy o stylach muzycznych i związanych z nimi tradycjami wykonawczymi, wykazuje się umiejętnością konstruowania i wykonywania spójnych i właściwych z punktu widzenia sztuki wykonawczej programów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K_U06 - jest zdolny do funkcjonowania w różnych formacjach zespołowych i posiada umiejętność współdziałania z innymi artystami w różnego typu zespołach oraz w ramach innych wspólnych prac i projektów, także o charakterze multidyscyplinarnym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K_U07 - posiada umiejętność kreowania i realizowania projektów artystycznych (często w powiązaniu z innymi dyscyplinami) oraz posiada zdolność do podjęcia wiodącej roli w zespołach różnego typu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K_U08 - kontynuując i rozwijając umiejętności nabyte na studiach pierwszego stopnia, poprzez indywidualną pracę utrzymuje i poszerza swoje zdolności do tworzenia, realizowania i wyrażania własnych koncepcji artystycznych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K_U09 - posiada umiejętność szybkiego odczytania i opanowania pamięciowego utworów, ze świadomym zastosowaniem różnych typów pamięci muzycznej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K_U10 - posiada umiejętność dogłębnego rozumienia i kontrolowania struktur rytmicznych i metrorytmicznych oraz aspektów dotyczących aplikatury, smyczkowania, pedalizacji, frazowania, struktury harmonicznej itp. opracowywanych utworów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K_U12 - posiada umiejętność tworzenia rozbudowanych prezentacji w formie słownej i pisemnej (także o charakterze multimedialnym) na tematy dotyczące zarówno własnej specjalizacji, jak i szerokiej problematyki z obszaru sztuki, wykazując zdolność formułowania własnych sądów i wyciągania trafnych wniosków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K_U14 - posiada umiejętność swobodnego kształtowania muzyki w sposób umożliwiający odejście od zapisanego tekstu nutowego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K_U17 - na bazie doświadczeń uzyskanych na studiach pierwszego stopnia wykazuje się umiejętnością świadomego stosowania technik pozwalających panować nad objawami stresu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K_U18 - posiada umiejętność praktycznego zastosowania pogłębionej wiedzy dotyczącej szerokich aspektów pedagogiki, dającą kwalifikacje do nauczania w zakresie swej specjalności na wszystkich poziomach edukacji muzycznej</w:t>
            </w:r>
          </w:p>
          <w:p>
            <w:pPr>
              <w:pStyle w:val="Normal"/>
              <w:rPr>
                <w:rFonts w:ascii="Arial" w:hAnsi="Arial" w:eastAsia="Arial" w:cs="Arial"/>
              </w:rPr>
            </w:pPr>
            <w:r>
              <w:rPr>
                <w:rFonts w:eastAsia="Arial" w:cs="Arial" w:ascii="Arial" w:hAnsi="Arial"/>
              </w:rPr>
            </w:r>
          </w:p>
          <w:p>
            <w:pPr>
              <w:pStyle w:val="Normal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  <w:t>Kompetencje społeczne: absolwent jest gotów do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K_K01 - jest w pełni kompetentnym i samodzielnym artystą, zdolnym do świadomego integrowania zdobytej wiedzy w obrębie specjalności oraz w ramach innych szeroko pojętych działań kulturotwórczych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K_K02 - inicjuje działania artystyczne w zakresie szeroko pojętej kultury (podejmowanie projektów o charakterze interdyscyplinarnym lub też wymagających współpracy z przedstawicielami innych dziedzin sztuki i nauki)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K_K04 - posiada umiejętność krytycznej oceny własnych działań twórczych i artystycznych oraz umie poddać takiej ocenie inne przedsięwzięcia z zakresu kultury, sztuki i innych dziedzin działalności artystycznej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K_K05 - jest zdolny do inspirowania i organizowania procesu doskonalenia umiejętności warsztatowych innych osób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K_K08 - wypełnia rolę społeczną absolwenta studiów muzycznych dbając o dorobek, tradycje i aspekty etyczne swojego zawodu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K_K09 - świadomie umie zaplanować swoją ścieżkę kariery zawodowej na podstawie zdobytych na studiach umiejętności i wiedzy, wykorzystując również wiedzę zdobytą w procesie ustawicznego samokształcenia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  <w:t>NAKŁAD PRACY STUDENTA</w:t>
            </w:r>
          </w:p>
        </w:tc>
      </w:tr>
      <w:tr>
        <w:trPr/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Rok</w:t>
            </w:r>
          </w:p>
        </w:tc>
        <w:tc>
          <w:tcPr>
            <w:tcW w:w="324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I</w:t>
            </w:r>
          </w:p>
        </w:tc>
        <w:tc>
          <w:tcPr>
            <w:tcW w:w="35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II</w:t>
            </w:r>
          </w:p>
        </w:tc>
      </w:tr>
      <w:tr>
        <w:trPr/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Semestr</w:t>
            </w:r>
          </w:p>
        </w:tc>
        <w:tc>
          <w:tcPr>
            <w:tcW w:w="16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1</w:t>
            </w:r>
          </w:p>
        </w:tc>
        <w:tc>
          <w:tcPr>
            <w:tcW w:w="15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2</w:t>
            </w:r>
          </w:p>
        </w:tc>
        <w:tc>
          <w:tcPr>
            <w:tcW w:w="18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3</w:t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4</w:t>
            </w:r>
          </w:p>
        </w:tc>
      </w:tr>
      <w:tr>
        <w:trPr/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Punkty ECTS</w:t>
            </w:r>
          </w:p>
        </w:tc>
        <w:tc>
          <w:tcPr>
            <w:tcW w:w="16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13</w:t>
            </w:r>
          </w:p>
        </w:tc>
        <w:tc>
          <w:tcPr>
            <w:tcW w:w="15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11</w:t>
            </w:r>
          </w:p>
        </w:tc>
        <w:tc>
          <w:tcPr>
            <w:tcW w:w="18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16</w:t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17</w:t>
            </w:r>
          </w:p>
        </w:tc>
      </w:tr>
      <w:tr>
        <w:trPr/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Liczba godzin</w:t>
            </w:r>
          </w:p>
          <w:p>
            <w:pPr>
              <w:pStyle w:val="Normal"/>
              <w:tabs>
                <w:tab w:val="clear" w:pos="720"/>
                <w:tab w:val="left" w:pos="5491" w:leader="none"/>
              </w:tabs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w tygodniu</w:t>
            </w:r>
          </w:p>
        </w:tc>
        <w:tc>
          <w:tcPr>
            <w:tcW w:w="16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1</w:t>
            </w:r>
          </w:p>
        </w:tc>
        <w:tc>
          <w:tcPr>
            <w:tcW w:w="15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1</w:t>
            </w:r>
          </w:p>
        </w:tc>
        <w:tc>
          <w:tcPr>
            <w:tcW w:w="18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2</w:t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2</w:t>
            </w:r>
          </w:p>
        </w:tc>
      </w:tr>
      <w:tr>
        <w:trPr/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Rodzaj zaliczenia</w:t>
            </w:r>
          </w:p>
        </w:tc>
        <w:tc>
          <w:tcPr>
            <w:tcW w:w="16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ekm</w:t>
            </w:r>
          </w:p>
        </w:tc>
        <w:tc>
          <w:tcPr>
            <w:tcW w:w="15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ekm</w:t>
            </w:r>
          </w:p>
        </w:tc>
        <w:tc>
          <w:tcPr>
            <w:tcW w:w="18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zal</w:t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zal</w:t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fill="FFFFFF"/>
              <w:ind w:right="240"/>
              <w:jc w:val="center"/>
              <w:rPr>
                <w:rFonts w:ascii="Arial" w:hAnsi="Arial" w:eastAsia="Arial" w:cs="Arial"/>
                <w:b/>
                <w:color w:val="000000"/>
              </w:rPr>
            </w:pPr>
            <w:r>
              <w:rPr>
                <w:rFonts w:eastAsia="Arial" w:cs="Arial" w:ascii="Arial" w:hAnsi="Arial"/>
                <w:b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  <w:t>WYMAGANIA KOŃCOWE</w:t>
            </w:r>
          </w:p>
          <w:p>
            <w:pPr>
              <w:pStyle w:val="Normal"/>
              <w:shd w:val="clear" w:fill="FFFFFF"/>
              <w:ind w:right="240"/>
              <w:jc w:val="center"/>
              <w:rPr>
                <w:rFonts w:ascii="Arial" w:hAnsi="Arial" w:eastAsia="Arial" w:cs="Arial"/>
                <w:b/>
                <w:color w:val="000000"/>
              </w:rPr>
            </w:pPr>
            <w:r>
              <w:rPr>
                <w:rFonts w:eastAsia="Arial" w:cs="Arial" w:ascii="Arial" w:hAnsi="Arial"/>
                <w:b/>
                <w:color w:val="000000"/>
              </w:rPr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Publiczne wykonanie 2 recitali dyplomowych</w:t>
            </w:r>
          </w:p>
          <w:p>
            <w:pPr>
              <w:pStyle w:val="Normal"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Napisanie pracy dyplomowej i jej obrona</w:t>
            </w:r>
          </w:p>
          <w:p>
            <w:pPr>
              <w:pStyle w:val="Normal"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Kryteria oceny</w:t>
            </w:r>
          </w:p>
          <w:p>
            <w:pPr>
              <w:pStyle w:val="Normal"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- warsztat wykonawczy – umiejętności techniczne - opanowanie i zrozumienie tekstu muzycznego - logika narracji muzycznej - frazowanie - umiejętność wypowiedzi w różnych stylach i formach muzycznych - kształtowanie dźwięku i jego jakość estetyczna - intonacja</w:t>
            </w:r>
          </w:p>
          <w:p>
            <w:pPr>
              <w:pStyle w:val="Normal"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color w:val="000000"/>
              </w:rPr>
            </w:pPr>
            <w:r>
              <w:rPr>
                <w:rFonts w:eastAsia="Arial" w:cs="Arial" w:ascii="Arial" w:hAnsi="Arial"/>
                <w:color w:val="000000"/>
              </w:rPr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fill="FFFFFF"/>
              <w:ind w:right="240"/>
              <w:jc w:val="both"/>
              <w:rPr>
                <w:rFonts w:ascii="Arial" w:hAnsi="Arial" w:eastAsia="Arial" w:cs="Arial"/>
                <w:color w:val="000000"/>
              </w:rPr>
            </w:pPr>
            <w:r>
              <w:rPr>
                <w:rFonts w:eastAsia="Arial" w:cs="Arial" w:ascii="Arial" w:hAnsi="Arial"/>
                <w:color w:val="000000"/>
              </w:rPr>
            </w:r>
          </w:p>
          <w:p>
            <w:pPr>
              <w:pStyle w:val="Normal"/>
              <w:shd w:val="clear" w:fill="FFFFFF"/>
              <w:ind w:right="240"/>
              <w:jc w:val="center"/>
              <w:rPr>
                <w:rFonts w:ascii="Arial" w:hAnsi="Arial" w:eastAsia="Arial" w:cs="Arial"/>
                <w:b/>
                <w:color w:val="000000"/>
              </w:rPr>
            </w:pPr>
            <w:r>
              <w:rPr>
                <w:rFonts w:eastAsia="Arial" w:cs="Arial" w:ascii="Arial" w:hAnsi="Arial"/>
                <w:b/>
                <w:color w:val="000000"/>
              </w:rPr>
              <w:t>LITERATURA</w:t>
            </w:r>
          </w:p>
          <w:p>
            <w:pPr>
              <w:pStyle w:val="Normal"/>
              <w:shd w:val="clear" w:fill="FFFFFF"/>
              <w:ind w:right="240"/>
              <w:jc w:val="both"/>
              <w:rPr>
                <w:rFonts w:ascii="Arial" w:hAnsi="Arial" w:eastAsia="Arial" w:cs="Arial"/>
                <w:color w:val="000000"/>
              </w:rPr>
            </w:pPr>
            <w:r>
              <w:rPr>
                <w:rFonts w:eastAsia="Arial" w:cs="Arial" w:ascii="Arial" w:hAnsi="Arial"/>
                <w:color w:val="000000"/>
              </w:rPr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rFonts w:ascii="Arial" w:hAnsi="Arial" w:eastAsia="Arial" w:cs="Arial"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Literatura podstawowa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b/>
                <w:sz w:val="20"/>
                <w:szCs w:val="20"/>
              </w:rPr>
              <w:t>koncerty skrzypcowe</w:t>
            </w:r>
            <w:r>
              <w:rPr>
                <w:rFonts w:eastAsia="Arial" w:cs="Arial" w:ascii="Arial" w:hAnsi="Arial"/>
                <w:sz w:val="20"/>
                <w:szCs w:val="20"/>
              </w:rPr>
              <w:t xml:space="preserve"> (np. J.S.Bach, G.Bacewicz, B.Bartok, A.Chaczaturian, P.Czajkowski, S.Barber, L.van Beethoven, J.Brahms, M.Bruch, B.Britten, A.Dvorak, A.Głazunow, M.Karłowicz, F.Mendelssohn, W.A.Mozart, N.Paganini, S.Prokofiew, D.szostakowicz,K.Szymanowski, H.Wieniawski, H. Vieuxtemps, A.Vivaldi itp.)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b/>
                <w:sz w:val="20"/>
                <w:szCs w:val="20"/>
              </w:rPr>
              <w:t>sonaty i utwory cykliczne</w:t>
            </w:r>
            <w:r>
              <w:rPr>
                <w:rFonts w:eastAsia="Arial" w:cs="Arial" w:ascii="Arial" w:hAnsi="Arial"/>
                <w:sz w:val="20"/>
                <w:szCs w:val="20"/>
              </w:rPr>
              <w:t xml:space="preserve"> ( np. J.S.Bach, G.Bacewicz, L. van Beethoven, J.Brahms, A.Dvorak, E.Elgar, C.Franc, G.Faure, F.Geminiani, E.Grieg, G.F.Haendel, L.Janacek, B.Martinu, W.A.Mozart, I.J.Paderewski, S.Prokofiew, D.Szostakowicz, K.Szymanowski, G.Tartini, H.Wieniawski, T.Vitali itp.)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b/>
                <w:sz w:val="20"/>
                <w:szCs w:val="20"/>
              </w:rPr>
              <w:t>utwory solowe</w:t>
            </w:r>
            <w:r>
              <w:rPr>
                <w:rFonts w:eastAsia="Arial" w:cs="Arial" w:ascii="Arial" w:hAnsi="Arial"/>
                <w:sz w:val="20"/>
                <w:szCs w:val="20"/>
              </w:rPr>
              <w:t xml:space="preserve"> ( np.. J.S.Bach, G.Bacewicz, B.Bartok, H.W.Ernst, P.Hindemith, J.Martinon, N.Paganini, S.Prokofiew, H.Wieniawski, H.Vieuxtemps, E.Ysaye itp.)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b/>
                <w:sz w:val="20"/>
                <w:szCs w:val="20"/>
              </w:rPr>
              <w:t>utwory reprezentujące różnorodną stylistykę i formy, w tym miniatury skrzypcowe</w:t>
            </w:r>
            <w:r>
              <w:rPr>
                <w:rFonts w:eastAsia="Arial" w:cs="Arial" w:ascii="Arial" w:hAnsi="Arial"/>
                <w:sz w:val="20"/>
                <w:szCs w:val="20"/>
              </w:rPr>
              <w:t xml:space="preserve"> - utwory rozwijające warsztat techniczny studentów: etiudy, kaprysy, wprawki, ćwiczenia.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Literatura uzupełniająca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Historia instrumentów muzycznych / Curt Sachs ; przeł. Stanisław Olędzki. - Wyd. 2. -Kraków : Polskie Wydawnictwo Muzyczne, 1989.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Musical excellence : strategies and techniques to enhance performance / edited by Aaron Williamon. - Repr. - Oxford : Oxford University Press, 2011.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Musical performance : a guide to understanding / edited by John Rink. - 8th print.-Cambridge Cambridge University Press, 2011.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Die Musik in Geschichte und Gegenwart : allgemeine Enzyklopaedie der Musik: Sachteil.Bd. 1-9 / begr. von Friedrich Blume ; hrsg. von Ludwig Finscher. - 2.,neubearb. Ausg. - 1994. – hasła encyklopedyczne poświęcone poszczególnym instrumentom smyczkowym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Das Orchester : Zeitschrift fur deutsche Orchesterkultur und Rundfunk-Chorwesen / Organer Deutschen Orchestervereinigung. - Mainz : Verlag Das Orchester, 1953- czasopismo.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The New Grove dictionary of music and musicians / ed. by Stanley Sadie. London : Macmillan, 1993. - hasła encyklopedyczne poświęcone poszczególnym instrumentom smyczkowym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Problemy wykonawcze muzyki współczesnej / red. nauk. Irena Marciniak. - Zielona Góra WSP im. Tadeusza Kotarbińskiego, 1998.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Przewodnik po muzyce kameralnej / Danuta Gwizdalanka. - Wyd.2. - Kraków : Polskie Wydawnictwo Muzyczne, 1998.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Strategies for teaching strings: building a successful string and orchestra program / Donald L. Hamann, Robert Gillespie. Hamann, Donald L. Wyd. 2 popr. New York : Oxford University Press, 2009.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The Cambridge companion to the violin / ed. by Robin Stowell. Adres wydawniczy Cambridge : Cambridge University Press, 1992.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Fizjologia gry skrzypcowej. Praktyczna korektura aparatu gry skrzypcowej na podstawie Etiud Kreutzera / Zenon Feliński. - Kraków : Polskie Wydawnictwo Muzyczne, 1952.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Henryk Wieniawski and the 19th century violin schools: techniques of playing, performance, questions of sources and editorial issues / edited by Maciej Jabłoński and Danuta Jasińska The Henryk Wieniawski Musical Society in Poznań. - Poznań : The Henryk Wieniawski Musical Society, 2006.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Intonacja w grze skrzypcowej : szkic metodyczny / Konstanty Mostras, z jęz. ros. przeł.Czesław Przystaś. - Kraków : PWM, 1958.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Intonacja w muzyce ze szczególnym uwzględnieniem gry skrzypcowej / Janina Fyk. -Warszawa : Akademia Muzyczna im. F. Chopina, 1989.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Kształtowanie środków artystycznego wyrazu partii skrzypcowej w Sonacie e-moll op. 82 Edwarda Elgara i Sonacie D-dur op. 2 George'a Enescu / Beata Warykiewicz-Siwy - Katowice Edition Peters 2009.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Między zapisem a wykonaniem wielodźwięków skrzypcowych / Robert Bachara ; Akademia Muzyczna im. Karola Lipińskiego. Wydział Instrumentalny. - Wrocław : Wydawnictwo Akademii Muzycznej im. Karola Lipińskiego, 2014.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Notatnik metodyczny : o grze skrzypcowej i jej nauczaniu / Antoni Cofalik. - Kraków :Polskie Wydaw. Muzyczne, 1999. Techniki gry skrzypcowej / Tadeusz Wroński. - Wyd. 2 /red. Jadwiga Gniazdowska. - Warszawa ; Łódź : Wydawnictwo Naukowe PWN, 1996.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Nowa uporządkowana technika aplikatury : na skrzypce / Jan Twardowski. - Kraków : "Beseder", 1995.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Praktyka wykonawcza w wiolinistyce solowej okresu baroku, klasycyzmu i romantyzmu i jej stylistyczno-estetyczne dziedzictwo we współczesnej interpretacji solowych utworów kontrabasowych / Waldemar Tamowski ; Akademia Muzyczna im. Karola Szymanowskiego w Katowicach. Wydział Wokalno-Instrumentalny. Katedra Instrumentów Smyczkowych. - Katowice : Akademia Muzyczna im. Karola Szymanowskiego, 2008.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Problemy gry skrzypcowej : wskazówki techniczne i rady dla skrzypka / Max Ludwig Grube ;tł. i słowo wstępne Stanisława Mikuszewskiego. - Katowice : Państwowa Wyższa Szkoła Muzyczna, 1963.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Przewodnik metodyczny nauczania gry na skrzypcach na stopniu elementarnym / Zenon Ostalczyk. - Wyd. 2 uzup. - Kraków : Polskie Wydawnictwo Muzyczne, 1992.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Skrzypce od A do Z / Jerzy Kusiak. - Wyd. 2 uzup. - Kraków : Polskie Wydawnictwo Muzyczne, 1999.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Violin master works and their interpretation / by Leopold Auer ; with a Foreword by Frederick H. Martens a. 360 Musical Illustrations. - New York : Carl Fischer, 1925.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Violin technique and performance practice in the late eighteenth and early nineteenth centuries / Robin Stowell. - Cambridge : Cambridge University Press, 2000.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Violon et alto / Yehudi Menuhin et William Primrose ; trad. Marie-Stella PĂ˘ris. - Paris : Hatier, cop. 1978.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Współczesne problemy dydaktyki skrzypcowej / Zenon Feliński. - Kraków : Polskie Wydawnictwo Muzyczne, dr. 1968.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Zasady gry skrzypcowej na podłożu fizjologii. Cz. 1 i 2, Usprawnienie działania aparatu gry skrzypcowej na podstawie wybranych Etiud Kreutzera / Zenon Feliński. - Wyd. 3 nowe. - 1974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fill="FFFFFF"/>
              <w:ind w:right="240"/>
              <w:jc w:val="center"/>
              <w:rPr>
                <w:rFonts w:ascii="Arial" w:hAnsi="Arial" w:eastAsia="Arial" w:cs="Arial"/>
                <w:b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color w:val="000000"/>
                <w:sz w:val="20"/>
                <w:szCs w:val="20"/>
              </w:rPr>
              <w:t>Uwaga:</w:t>
            </w:r>
          </w:p>
          <w:p>
            <w:pPr>
              <w:pStyle w:val="Normal"/>
              <w:shd w:val="clear" w:fill="FFFFFF"/>
              <w:ind w:right="240"/>
              <w:jc w:val="center"/>
              <w:rPr>
                <w:rFonts w:ascii="Arial" w:hAnsi="Arial" w:eastAsia="Arial" w:cs="Arial"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color w:val="000000"/>
                <w:sz w:val="20"/>
                <w:szCs w:val="20"/>
              </w:rPr>
              <w:t>Prowadzący przedmiot może dokonywać zmian w sylabusie, nie naruszając jednak ogólnych założeń programu.</w:t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fill="FFFFFF"/>
              <w:ind w:right="240"/>
              <w:jc w:val="center"/>
              <w:rPr>
                <w:rFonts w:ascii="Arial" w:hAnsi="Arial" w:eastAsia="Arial" w:cs="Arial"/>
                <w:b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color w:val="000000"/>
                <w:sz w:val="20"/>
                <w:szCs w:val="20"/>
              </w:rPr>
            </w:r>
          </w:p>
          <w:p>
            <w:pPr>
              <w:pStyle w:val="Normal"/>
              <w:shd w:val="clear" w:fill="FFFFFF"/>
              <w:ind w:right="240"/>
              <w:jc w:val="center"/>
              <w:rPr>
                <w:rFonts w:ascii="Arial" w:hAnsi="Arial" w:eastAsia="Arial" w:cs="Arial"/>
                <w:b/>
                <w:color w:val="000000"/>
              </w:rPr>
            </w:pPr>
            <w:r>
              <w:rPr>
                <w:rFonts w:eastAsia="Arial" w:cs="Arial" w:ascii="Arial" w:hAnsi="Arial"/>
                <w:b/>
                <w:color w:val="000000"/>
              </w:rPr>
              <w:t>MODYFIKACJE SYLABUSA</w:t>
            </w:r>
          </w:p>
          <w:p>
            <w:pPr>
              <w:pStyle w:val="Normal"/>
              <w:shd w:val="clear" w:fill="FFFFFF"/>
              <w:ind w:right="240"/>
              <w:jc w:val="center"/>
              <w:rPr>
                <w:rFonts w:ascii="Arial" w:hAnsi="Arial" w:eastAsia="Arial" w:cs="Arial"/>
                <w:b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color w:val="000000"/>
                <w:sz w:val="20"/>
                <w:szCs w:val="20"/>
              </w:rPr>
            </w:r>
          </w:p>
        </w:tc>
      </w:tr>
      <w:tr>
        <w:trPr/>
        <w:tc>
          <w:tcPr>
            <w:tcW w:w="29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fill="FFFFFF"/>
              <w:ind w:right="240"/>
              <w:jc w:val="center"/>
              <w:rPr>
                <w:rFonts w:ascii="Arial" w:hAnsi="Arial" w:eastAsia="Arial" w:cs="Arial"/>
                <w:b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color w:val="000000"/>
                <w:sz w:val="20"/>
                <w:szCs w:val="20"/>
              </w:rPr>
              <w:t>Data</w:t>
            </w:r>
          </w:p>
        </w:tc>
        <w:tc>
          <w:tcPr>
            <w:tcW w:w="300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fill="FFFFFF"/>
              <w:ind w:right="240"/>
              <w:jc w:val="center"/>
              <w:rPr>
                <w:rFonts w:ascii="Arial" w:hAnsi="Arial" w:eastAsia="Arial" w:cs="Arial"/>
                <w:b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color w:val="000000"/>
                <w:sz w:val="20"/>
                <w:szCs w:val="20"/>
              </w:rPr>
              <w:t>Imię i nazwisko</w:t>
            </w:r>
          </w:p>
        </w:tc>
        <w:tc>
          <w:tcPr>
            <w:tcW w:w="30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fill="FFFFFF"/>
              <w:ind w:right="240"/>
              <w:jc w:val="center"/>
              <w:rPr>
                <w:rFonts w:ascii="Arial" w:hAnsi="Arial" w:eastAsia="Arial" w:cs="Arial"/>
                <w:b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color w:val="000000"/>
                <w:sz w:val="20"/>
                <w:szCs w:val="20"/>
              </w:rPr>
              <w:t>Czego dotyczy modyfikacja</w:t>
            </w:r>
          </w:p>
        </w:tc>
      </w:tr>
      <w:tr>
        <w:trPr/>
        <w:tc>
          <w:tcPr>
            <w:tcW w:w="29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fill="FFFFFF"/>
              <w:ind w:right="240"/>
              <w:jc w:val="center"/>
              <w:rPr>
                <w:rFonts w:ascii="Arial" w:hAnsi="Arial" w:eastAsia="Arial" w:cs="Arial"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1.06.2024 r.</w:t>
            </w:r>
          </w:p>
        </w:tc>
        <w:tc>
          <w:tcPr>
            <w:tcW w:w="300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fill="FFFFFF"/>
              <w:ind w:right="240"/>
              <w:jc w:val="center"/>
              <w:rPr>
                <w:rFonts w:ascii="Arial" w:hAnsi="Arial" w:eastAsia="Arial" w:cs="Arial"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Adam Jezierzański</w:t>
            </w:r>
          </w:p>
        </w:tc>
        <w:tc>
          <w:tcPr>
            <w:tcW w:w="30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fill="FFFFFF"/>
              <w:ind w:right="240"/>
              <w:jc w:val="center"/>
              <w:rPr>
                <w:rFonts w:ascii="Arial" w:hAnsi="Arial" w:eastAsia="Arial" w:cs="Arial"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Forma graficzna</w:t>
            </w:r>
          </w:p>
        </w:tc>
      </w:tr>
    </w:tbl>
    <w:p>
      <w:pPr>
        <w:pStyle w:val="Normal"/>
        <w:rPr>
          <w:rFonts w:ascii="Arial" w:hAnsi="Arial" w:eastAsia="Arial" w:cs="Arial"/>
          <w:sz w:val="20"/>
          <w:szCs w:val="20"/>
        </w:rPr>
      </w:pPr>
      <w:r>
        <w:rPr>
          <w:rFonts w:eastAsia="Arial" w:cs="Arial" w:ascii="Arial" w:hAnsi="Arial"/>
          <w:sz w:val="20"/>
          <w:szCs w:val="20"/>
        </w:rPr>
      </w:r>
    </w:p>
    <w:p>
      <w:pPr>
        <w:pStyle w:val="Normal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rmal"/>
        <w:rPr/>
      </w:pPr>
      <w:r>
        <w:rPr/>
      </w:r>
    </w:p>
    <w:sectPr>
      <w:type w:val="nextPage"/>
      <w:pgSz w:w="11906" w:h="16838"/>
      <w:pgMar w:left="1417" w:right="1417" w:gutter="0" w:header="0" w:top="1417" w:footer="0" w:bottom="1417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mbria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Georgia">
    <w:charset w:val="01"/>
    <w:family w:val="roman"/>
    <w:pitch w:val="variable"/>
  </w:font>
  <w:font w:name="Arial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75"/>
  <w:defaultTabStop w:val="720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mbria" w:hAnsi="Cambria" w:eastAsia="Cambria" w:cs="Cambria"/>
        <w:sz w:val="24"/>
        <w:szCs w:val="24"/>
        <w:lang w:val="pl-PL" w:eastAsia="zh-CN" w:bidi="hi-IN"/>
      </w:rPr>
    </w:rPrDefault>
    <w:pPrDefault>
      <w:pPr>
        <w:suppressAutoHyphens w:val="true"/>
      </w:pPr>
    </w:pPrDefault>
  </w:docDefaults>
  <w:style w:type="paragraph" w:styleId="Normal" w:default="1">
    <w:name w:val="Normal"/>
    <w:qFormat/>
    <w:rsid w:val="008709e9"/>
    <w:pPr>
      <w:widowControl/>
      <w:suppressAutoHyphens w:val="true"/>
      <w:bidi w:val="0"/>
      <w:spacing w:lineRule="auto" w:line="240" w:before="0" w:after="0"/>
      <w:jc w:val="left"/>
    </w:pPr>
    <w:rPr>
      <w:rFonts w:ascii="Cambria" w:hAnsi="Cambria" w:eastAsia="Cambria" w:cs="Times New Roman"/>
      <w:color w:val="auto"/>
      <w:kern w:val="0"/>
      <w:sz w:val="24"/>
      <w:szCs w:val="24"/>
      <w:lang w:val="pl-PL" w:eastAsia="zh-CN" w:bidi="hi-IN"/>
    </w:rPr>
  </w:style>
  <w:style w:type="paragraph" w:styleId="Heading1">
    <w:name w:val="Heading 1"/>
    <w:basedOn w:val="normal1"/>
    <w:next w:val="normal1"/>
    <w:qFormat/>
    <w:pPr>
      <w:keepNext w:val="true"/>
      <w:keepLines/>
      <w:pageBreakBefore w:val="false"/>
      <w:spacing w:lineRule="auto" w:line="240" w:before="480" w:after="120"/>
    </w:pPr>
    <w:rPr>
      <w:b/>
      <w:sz w:val="48"/>
      <w:szCs w:val="48"/>
    </w:rPr>
  </w:style>
  <w:style w:type="paragraph" w:styleId="Heading2">
    <w:name w:val="Heading 2"/>
    <w:basedOn w:val="normal1"/>
    <w:next w:val="normal1"/>
    <w:qFormat/>
    <w:pPr>
      <w:keepNext w:val="true"/>
      <w:keepLines/>
      <w:pageBreakBefore w:val="false"/>
      <w:spacing w:lineRule="auto" w:line="240" w:before="360" w:after="80"/>
    </w:pPr>
    <w:rPr>
      <w:b/>
      <w:sz w:val="36"/>
      <w:szCs w:val="36"/>
    </w:rPr>
  </w:style>
  <w:style w:type="paragraph" w:styleId="Heading3">
    <w:name w:val="Heading 3"/>
    <w:basedOn w:val="normal1"/>
    <w:next w:val="normal1"/>
    <w:qFormat/>
    <w:pPr>
      <w:keepNext w:val="true"/>
      <w:keepLines/>
      <w:pageBreakBefore w:val="false"/>
      <w:spacing w:lineRule="auto" w:line="240" w:before="280" w:after="80"/>
    </w:pPr>
    <w:rPr>
      <w:b/>
      <w:sz w:val="28"/>
      <w:szCs w:val="28"/>
    </w:rPr>
  </w:style>
  <w:style w:type="paragraph" w:styleId="Heading4">
    <w:name w:val="Heading 4"/>
    <w:basedOn w:val="normal1"/>
    <w:next w:val="normal1"/>
    <w:qFormat/>
    <w:pPr>
      <w:keepNext w:val="true"/>
      <w:keepLines/>
      <w:pageBreakBefore w:val="false"/>
      <w:spacing w:lineRule="auto" w:line="240" w:before="240" w:after="40"/>
    </w:pPr>
    <w:rPr>
      <w:b/>
      <w:sz w:val="24"/>
      <w:szCs w:val="24"/>
    </w:rPr>
  </w:style>
  <w:style w:type="paragraph" w:styleId="Heading5">
    <w:name w:val="Heading 5"/>
    <w:basedOn w:val="normal1"/>
    <w:next w:val="normal1"/>
    <w:qFormat/>
    <w:pPr>
      <w:keepNext w:val="true"/>
      <w:keepLines/>
      <w:pageBreakBefore w:val="false"/>
      <w:spacing w:lineRule="auto" w:line="240" w:before="220" w:after="40"/>
    </w:pPr>
    <w:rPr>
      <w:b/>
      <w:sz w:val="22"/>
      <w:szCs w:val="22"/>
    </w:rPr>
  </w:style>
  <w:style w:type="paragraph" w:styleId="Heading6">
    <w:name w:val="Heading 6"/>
    <w:basedOn w:val="normal1"/>
    <w:next w:val="normal1"/>
    <w:qFormat/>
    <w:pPr>
      <w:keepNext w:val="true"/>
      <w:keepLines/>
      <w:pageBreakBefore w:val="false"/>
      <w:spacing w:lineRule="auto" w:line="240" w:before="200" w:after="40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PingFang SC" w:cs="Arial Unicode M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 Unicode MS"/>
    </w:rPr>
  </w:style>
  <w:style w:type="paragraph" w:styleId="normal1" w:default="1">
    <w:name w:val="normal1"/>
    <w:qFormat/>
    <w:pPr>
      <w:widowControl/>
      <w:suppressAutoHyphens w:val="true"/>
      <w:bidi w:val="0"/>
      <w:spacing w:before="0" w:after="0"/>
      <w:jc w:val="left"/>
    </w:pPr>
    <w:rPr>
      <w:rFonts w:ascii="Cambria" w:hAnsi="Cambria" w:eastAsia="Cambria" w:cs="Cambria"/>
      <w:color w:val="auto"/>
      <w:kern w:val="0"/>
      <w:sz w:val="24"/>
      <w:szCs w:val="24"/>
      <w:lang w:val="pl-PL" w:eastAsia="zh-CN" w:bidi="hi-IN"/>
    </w:rPr>
  </w:style>
  <w:style w:type="paragraph" w:styleId="Title">
    <w:name w:val="Title"/>
    <w:basedOn w:val="normal1"/>
    <w:next w:val="normal1"/>
    <w:qFormat/>
    <w:pPr>
      <w:keepNext w:val="true"/>
      <w:keepLines/>
      <w:pageBreakBefore w:val="false"/>
      <w:spacing w:lineRule="auto" w:line="240" w:before="480" w:after="120"/>
    </w:pPr>
    <w:rPr>
      <w:b/>
      <w:sz w:val="72"/>
      <w:szCs w:val="72"/>
    </w:rPr>
  </w:style>
  <w:style w:type="paragraph" w:styleId="Subtitle">
    <w:name w:val="Subtitle"/>
    <w:basedOn w:val="normal1"/>
    <w:next w:val="normal1"/>
    <w:qFormat/>
    <w:pPr>
      <w:keepNext w:val="true"/>
      <w:keepLines/>
      <w:pageBreakBefore w:val="false"/>
      <w:widowControl/>
      <w:shd w:val="clear" w:fill="auto"/>
      <w:spacing w:lineRule="auto" w:line="240" w:before="360" w:after="80"/>
      <w:ind w:hanging="0" w:left="0" w:right="0"/>
      <w:jc w:val="left"/>
    </w:pPr>
    <w:rPr>
      <w:rFonts w:ascii="Georgia" w:hAnsi="Georgia" w:eastAsia="Georgia" w:cs="Georgia"/>
      <w:b w:val="false"/>
      <w:i/>
      <w:caps w:val="false"/>
      <w:smallCaps w:val="false"/>
      <w:strike w:val="false"/>
      <w:dstrike w:val="false"/>
      <w:color w:val="666666"/>
      <w:position w:val="0"/>
      <w:sz w:val="48"/>
      <w:sz w:val="48"/>
      <w:szCs w:val="48"/>
      <w:u w:val="none"/>
      <w:shd w:fill="auto" w:val="clear"/>
      <w:vertAlign w:val="baseline"/>
    </w:rPr>
  </w:style>
  <w:style w:type="numbering" w:styleId="Bezlisty" w:default="1">
    <w:name w:val="Bez listy"/>
    <w:uiPriority w:val="99"/>
    <w:semiHidden/>
    <w:unhideWhenUsed/>
    <w:qFormat/>
  </w:style>
  <w:style w:type="table" w:default="1" w:styleId="TableNormal">
    <w:name w:val="Table Normal"/>
  </w:style>
  <w:style w:type="table" w:default="1" w:styleId="TableNormal">
    <w:name w:val="Table Normal"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-Siatka">
    <w:name w:val="Table Grid"/>
    <w:basedOn w:val="Standardowy"/>
    <w:uiPriority w:val="39"/>
    <w:rsid w:val="008709e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Motyw pakietu Office">
  <a:themeElements>
    <a:clrScheme name="Pakiet 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roundtripDataSignature="AMtx7miAgHQRMXJDfQbWAKThK1C8Vkhc/g==">CgMxLjA4AHIhMVE2TzZ4aVRQQ1AyUW5lMHVuMlc4U1RQekp2b3R1dGw2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LibreOffice/24.2.5.2$MacOSX_X86_64 LibreOffice_project/bffef4ea93e59bebbeaf7f431bb02b1a39ee8a59</Application>
  <AppVersion>15.0000</AppVersion>
  <Pages>6</Pages>
  <Words>1869</Words>
  <Characters>12387</Characters>
  <CharactersWithSpaces>14180</CharactersWithSpaces>
  <Paragraphs>132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2024-04-16T12:44:00Z</dcterms:created>
  <dc:creator>Helena Tomaszek-Plewa</dc:creator>
  <dc:description/>
  <dc:language>pl-PL</dc:language>
  <cp:lastModifiedBy/>
  <dcterms:modified xsi:type="dcterms:W3CDTF">2025-01-16T23:17:41Z</dcterms:modified>
  <cp:revision>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