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Skrzypce barokowe -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dr Paweł Miczka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Osiągnięcie poziomu samodzielności pozwalającego na podjęcie z sukcesem profesjonalnej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kariery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Przygotowanie do ewentualnego podjęcia dalszych studiów (doktoranckie)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Gra w różnorodnych składach instrumentalnych i wokalno-instrumentalnych, umiejętność podjęcia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roli lidera (koncertmistrza) i doboru repertuaru koncertowego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Znajomość literatury skrzypcowej epoki baroku i klasycyzmu, zagadnień teoretycznych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niezbędnych do wykonywania muzyki kameralnej i orkiestrowej w sposób zgodny z zasadami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wykonawstwa historycznego (historycznie poinformowanego), zasad improwizacji w różnych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stylach.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Program studiów zawiera pracę nad repertuarem kameralno-orkiestrowym (np.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sonaty z partią obbligato oraz partie koncertujące)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Doskonalenie techniki gry na instrumencie historycznym (historyczne techniki trzymania instrumentu, praca nad kształtowaniem dźwięku; historyczna technika zmian pozycji; zróżnicowana artykulacja i prędkość smyczka i świadome użycie tychże; zróżnicowana wibracja i tryle; dwudźwięki, arpeggia i akordy z kontrolowanym oparciem na dolną bądź górną nutę; opanowanie gry w różnych wysokościach i temperacjach)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Uzyskanie samodzielności w pracy artystycznej (umiejętność efektywnego ćwiczenia, dostrzegania, nazywania i rozwiązywania problemów)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publicznych występów scenicznych (umiejętność wyboru programu i planowania koncertu a także prób, panowanie nad stresem)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Interpretacja (wybór właściwego języka muzycznego, indywidualizacja wypowiedzi muzycznej)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Ze względu na charakter studiów II stopnia, będący w dużej mierze pracą nad rozwojem już ukształtowanych osobowości artystycznych, dopuszcza się repertuarowe odstępstwa od programu studiów nie zmniejszające jednak skali jakościowej i ilościowej sugerowanej w programie. Zasadniczo studia II stopnia mają służyć znaczącemu pogłębieniu treści programowych obowiązujących podczas studiów I stopnia skorelowanych z indywidualnym profilem danego studenta.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Wiedza: absolwent zna i rozumie  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K_K09 - świadomie umie zaplanować swoją ścieżkę kariery zawodowej na podstawie zdobytych na studiach umiejętności i wiedzy, wykorzystując również wiedzę zdobytą w procesie ustawicznego samokształcenia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Napisanie pracy dyplomowej i jej obrona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Umiejętności techniczne i ich adekwatne użycie dla celów interpretacji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Interpretacja zgodna ze stylem i epoką, osadzona w pogłębionej wiedzy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dotyczącej historycznych praktyk wykonawczych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Utwory solowe bez b.c.: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Schop – Preludio, N. Matteis – Preludio, T. Baltzar – Preludio, H.I.F. von Biber – Passacaglia, P. Westhoff – Suity, J.G. Pisendel – Sonata, J.S. Bach – Sonaty i partity, G.P. Telemann – Fantazje, J.H. Roman – Assaggi, G. Tartini – Sonaty, J. Wilsmayr – Partity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Kaprysy: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Locatelli, F. Benda, J.H. Roman, P. Nardini, F. Fiorillo, R. Kreutzer, A. Bruni, J. Stamitz, B. Campagnoli, F.A. Hoffmeister, J.G. Guillemain, P. Rode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 solowe: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J.S. Bach, A. Vivaldi, P. Locatelli, J.M. Leclair, G.P. Telemann, J. Haydn, J.G. Pisendel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The New Grove Dictionary of Music and Musicians, London, New York 2001 (wybrane hasła).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Die Musik in Geschichte und Gegenwart, Kassel 1994 (wybrane hasła).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Boyden, Dzieje gry skrzypcowej, Kraków 1980.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Geminiani, The art of playing on the violin, London 1751.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Prelleur, The modern music master, London 1731.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Corrette, L'ecole d'Orfee, Paris 1738.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J. Quantz, O zasadach gry na flecie poprzecznym, Łódź 2012 (fragmenty).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Tarling, Baroque string playing, London 2001.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Mozart, Gruntowna szkoła skrzypcowa, Poznań 2007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Wilk, Sonata na skrzypce solo w siedemnastowiecznych Włoszech, Wrocław 2005.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Harnoncourt, Muzyka mową dźwięków, Warszawa 1995.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Harnoncourt, Dialog muzyczny, Warszawa 1999.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Szlagowska, Muzyka baroku, Gdańsk 1998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Przedmowy i komentarze krytyczne do wydań opracowywanych utworów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g5+I6/t7ZfILHgu+wYkO43Wrtw==">CgMxLjA4AHIhMWU4Zk9UZXgwRnIyckc0T3U1Ul9mYjJfbkFORFR4aDhx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1359</Words>
  <Characters>9240</Characters>
  <CharactersWithSpaces>10616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