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Odmiana instrumentu głównego / Forma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Saksofon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prof. dr hab. Ryszard Żołędziewski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sz w:val="20"/>
                <w:szCs w:val="20"/>
              </w:rPr>
              <w:t>mgr Mateusz Boduch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muzykasaksofonisty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studiów doktoranckich, również o charakterze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estradową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saksofonie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saksofonowym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saksofonowego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w tym muzyki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części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zespołu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Lauba -Neuf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Loyon - 32 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Paganini - Vingt-Quatre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Piazzolla - Tango-Études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Mule - Études Variees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- Études-Caprices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Jose Berghamans - Concerto Lyrique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Pièce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Roger Boutry -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Concert nr 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Marius Constant - Musique de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Concerto, op. 26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Ingolf Dahal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René Decouais - Trios Pièces en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Alfred Desenclos - Prélude, Cadence et Finale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Concerststück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Aleksander Głazunow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Walter S. Hartley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Karel Husa - Concerto for Alto Saxophone and Concert Band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Ibert - Concertino da Camera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Yasuhide Ito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Erland von Koch - Saxophon-Concerto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Guy Lacour - Piece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Lars-Erik Larson - Konsert för Saxofon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Franck Martin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Murgier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Roman Palester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Rene Pieper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Volodymir Runchak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Vellones - Concerto op. 65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Sonaty, suity i utwory cykliczne: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 Absil - Sonate op. 115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William Albright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Jean-Pierre Beugniot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Johannes Brahms - Sonate op. 120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Gavambodi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Artur Cieślak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Suite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Sonata op.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Stephen Dankner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Fernande Decruck - Sonate en ut Diese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Edison Denisov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Bernahrd Heiden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Arthur Honegger - Sonete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Ernst Lothar von Knorr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Claus Krumlovski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Muczynski - Sonata op. 29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Phil Woods - Sonata for Alto Sax and 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Takashi Yoshimatsu - Fuzzy Bird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Erwin Schulhoff - Hot-Sonate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sonaty, suity czy utwory cykliczne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na saksofon solo: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 Sebastian Bach - Partita nr 2, BWV 1004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Luciano Berio - Saquenza IX 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Augustyn Bloch - Nuty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Caprice en forme de valse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Damien Charron - Vers tous les Chemines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Patrick Chaquet - Aires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Jeanne Colin - Fantaisie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Daneels - Quatre Miniatures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Suite Francaise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Horoscope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Setiocetime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Nicolaus A. Huber - Aus Schmerz und Trauer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Musique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Victor Morosco - Blue Caprice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Maï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Requiem (Shin-Én)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Tri Oto logie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Lola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Portrait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Prismes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Giacinto Scelsi - Tre Pezzi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Karlheinz Stockhausen - Solo nr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Fuminori Tanada - Mysterious Morning III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solowe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z akompaniamentem fortepianu bądź orkiestry: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Leslie Bassett -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Bariller - Rhapsodie Bretonne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Alain Bernaud - Rhapsodie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Borne - Fantaisie brillante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Rapsodie, op. 108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Claude Debussy - Rapsodie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Demersseman - Le Carnavale de Venise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Brillance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Variations Pathétiques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Boris Mersson - Fantasia, op. 37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Darius Milhaud – Scaramouche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Sauguet - Oraisons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 Swerts - Klonos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Florent Schmitt - Légende, op. 66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Heitor Villa-Lobos -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z akompaniamentem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S.M. Raschèr, Top-Tones for the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Rousseau, Marcel Mule: sa Vie et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Ventzke, C. Raumberger, D. Hilkenbach, Die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Kool, Das Saxophon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Hello! Mr. Sax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R.A. Luckey, Saxophone altissimo: High Note Development for the Contemporary Saxophone Player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Delangle, F. Juranville, F. Léclaircie, J. P. Magnac,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Pituch, Saksofon ad A do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A Comprehensive Guide to the Saxophone Repertoire 1844-2003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Gammond, Kompozytorzy Świata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pPtioDVTyDxvZSarecZSgmQi2g==">CgMxLjA4AHIhMWU3dzN3YjNiM29nYllXejZsaDBtRy1Lbm1zb05LUEh2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6</Pages>
  <Words>1778</Words>
  <Characters>11370</Characters>
  <CharactersWithSpaces>13168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2025-01-16T00:15:33Z</dcterms:modified>
  <cp:revision>1</cp:revision>
  <dc:subject/>
  <dc:title/>
</cp:coreProperties>
</file>