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 główny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Kierunek: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Waltornia - profil solistyczny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przedmiot główny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zajęć: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w innych językach: niemiecki, rosyjski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dr Adam Wolny, mgr Ryszard Kurzak, </w:t>
            </w:r>
            <w:r>
              <w:rPr>
                <w:rFonts w:eastAsia="Arial" w:cs="Arial" w:ascii="Arial" w:hAnsi="Arial"/>
                <w:sz w:val="20"/>
                <w:szCs w:val="20"/>
              </w:rPr>
              <w:t>mgr Wawrzyniec Szymański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Przygotowanie studenta do samodzielnej, kreatywnej pracy w zawodzie muzykawaltornisty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Osiągnięcie przez studenta wysokiego poziomu posługiwania się warsztatem instrumentalnym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3. Pogłębienie i rozwinięcie wiedzy oraz umiejętności studenta związanych ze ściśle określonym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zakresem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4. Umożliwienie specjalizowania się w dyscyplinach wymagających dalszych studiów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5. Przygotowanie studenta do podjęcia studiów doktoranckich w obrębie studiowanego zakresu,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również o charakterze interdyscyplinarnym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6. Pogłębiona praca nad zniwelowaniem negatywnych skutków tremy poprzez dalszą praktykę 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>estradową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Ugruntowanie aparatu gry na rogu i prawidłowych nawyków z nim związanych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Zapoznanie ze współczesnymi technikami wykonawczymi i aktualnymi trendami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 wykonawstwie waltorni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Poszerzenie znajomości reprezentatywnego repertuaru rogu ze szczególnym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uwzględnieniem twórczości kameralnej i orkiestrowej z różnych epok i stylistyk, 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tym muzyki współczesnej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Stymulowanie coraz większej samodzielności w pracy nad materiałem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muzycznym i wspieranie indywidualnych interpretacji dzieł przez studenta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Wspieranie studenta w kształtowaniu indywidualnej sylwetki artystycznej 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możliwości specjalizowania się wybranej dziedzinie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wiedzy i umiejętności interpretacji utworów poprzez analizę wykonań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 znajomość fachowej literatury źródłowej oraz fonograficznej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Praca nad osiągnięciem biegłości i sprawności technicznej umożliwiającej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wykonywanie utworów o charakterze wirtuozowskim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samoświadomości i samokontroli studenta w celu umożliwienia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dalszego, własnego rozwoju technicznego i muzycznego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umiejętności pracy w charakterze solisty – omówienie kompetencji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wymaganych do pracy z różnego rodzaju zespołami, dyrygentem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19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2 recitali dyplomowych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napisanie pracy dyplomowej i jej obrona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warsztat wykonawczy – umiejętności techniczne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logika narracji muzycznej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frazowanie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umiejętność wypowiedzi w różnych stylach i formach muzycznych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kształtowanie dźwięku, jakość estetyczna dźwięku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intonacja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Pracę dyplomową na kierunku instrumentalistyka (Studia II st.) tworzą: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Praca artystyczna – I i II recital dyplomowy o zróżnicowanym stylistycznie programie trwającym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każdorazowo 35-45 min. – występy otwarte dla publiczności.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Pisemna praca dyplomowa na temat zgodny z kierunkiem studiów i zaakceptowany przez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Kierownika Katedry. Na ocenę pracy składają się opinia promotora i 2 recenzentów - oceniana pod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względem: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zgodności treści pracy z tematem określonym w tytule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układu pracy, struktury podziału treści, kolejności rozdziałów, kompletności tez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nowatorskiego ujęcie problemu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doboru i wykorzystania źródeł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formalnej strony pracy (poprawność języka, opanowanie techniki pisania pracy,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spis treści, odsyłacze)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przydatności pracy do ewentualnej publikacji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podstawowa 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Etiudy: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B.Krol - Naturhorn-Studien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B.Tuckwell - Fifty first exercises for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A.Belloli – Ausgewählte Etüden Helf 1,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J.R.Lewy - Ausgewählte Etüden Helf 1,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J.D.Artot - Ausgewählte Etüden Helf 1, 2,3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B.Bergonzi – Capricci per Corno da Caccia G.Barboteu – 20 Etudes Concrtantes pour horn A,Frehse - Etüden für horn helf 1,2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J.F.Gallay – Zwölf Etüden für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etiudy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Koncerty: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W.A.Mozart – Koncert rondo Es-dur K.V. 371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W.A.Mozart – Koncert na róg nr 1 D-dur K.V 412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W.A.Mozart – Koncert na róg nr 2 Es-dur K.V 417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W.A.Mozart – Koncert na róg nr 3 Es-dur K.V 447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W.A.Mozart – Koncert na róg nr 4 Es-dur K.V 495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Haydn – Koncert nr 1 D-dur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 Haydn – Koncert na 2 rogi Es- 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J.S.Skroup – Koncert B-dur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A.Vivaldi – Concerto In Fa Maggiore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Mercadante – Concerto Per Corno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R.Gliere – Concerto in B major for Horn Op 91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J.W.Stich – Concerto für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J.J.Quantz – Konzert für horn Es-dur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C.Stamitz – Koncert for Horn Es-dur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G.Delerue – Concerto pour cor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O.Knussen – Horn Concert Op.28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L.Cherubini – Konzert F-dur für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G.P.Telemann – Concerto D-dur für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J.M.Haydn – Concertino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F.A.Rosetti – Koncert Es-dur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F.A.Rosetti – Koncert d-moll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F.A.Rosetti – Koncert F-dur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F.Förster – Koncert Es-dur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R.Strauss – Koncert nr 1 Es 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R.Strauss – Koncert nr 2 Es 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F.Strauss – Koncert F-dur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C.Saint-Saens – Concertpiece op.94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C.M.Weber – Concertino e-moll op.45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Inne koncerty o zbliżonym stopniu trudności.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Sonaty: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L.van Beethoven – Sonata F-dur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L.Cherubini – Sonata nr 1 für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L.Cherubini – Sonata nr 2 für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B.Marcello – Sonata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F.Danzi – Sonate Es-dur op.28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P.Hindemit – Sanata nr 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P.Hindemit – Sanata nr 2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E.Y.Bowen – Sonata in E flat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I.Madsen – Sonata For Horn And Piano Op.24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W.Kilar – Sonata na róg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sonaty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Formy swobodne: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J.Dvoracek – Due Per Duo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J.Francaix – divertimento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E.Bozza – en Irlande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E.Bozza – Sur Les Cimes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Marc-Carles – Choral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B.Anisimow – Poema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G.Rossini – Prelude,Theme And Variations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R.Glier – Nokturn op 35 nr 10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R.Glier – Intermezzo op 35 nr 11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R.Glier – Romans op 35 nr 6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R.Glier – Smutny Walc op 35 nr 7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W.Bujanowski – Espana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M.Sieber – Notturno For Horn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R.Schumann – Adagio und Allegro op.70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G.Delerue – Poeme Fantasque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H.Neuling – Bagatelle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S.Berge – Horn-Lokk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B.Britten – Serenade for Tenor Solo,Horn and Strings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Inne utwory o zbliżonym stopniu trudności.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Literatura uzupełniająca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H. Fitzpatrick The Horn and horn playing and the Austro-Bohemian tradition from 1680 to 1830, London 1970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R. Morley-Pegge The French Horn, London 1960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 Damm Das Horn in der Mitte des 18 Jahrhunderts zwischen Clarinblas und Stopftechnik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DwCKy2Uvvc1mEgw0JUxoxXlAqFg==">CgMxLjA4AHIhMWFoU1hFUnVXYUMyN0ZWZXRacnFoUFIybFBXZ2l6QmlR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5</Pages>
  <Words>1584</Words>
  <Characters>10451</Characters>
  <CharactersWithSpaces>12097</CharactersWithSpaces>
  <Paragraphs>210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dcterms:modified xsi:type="dcterms:W3CDTF">2025-01-16T00:39:04Z</dcterms:modified>
  <cp:revision>1</cp:revision>
  <dc:subject/>
  <dc:title/>
</cp:coreProperties>
</file>