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B67AA" w14:textId="77777777" w:rsidR="00C02C25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C02C25" w14:paraId="7344DE32" w14:textId="77777777">
        <w:tc>
          <w:tcPr>
            <w:tcW w:w="9062" w:type="dxa"/>
            <w:gridSpan w:val="11"/>
          </w:tcPr>
          <w:p w14:paraId="0D14D53B" w14:textId="77777777" w:rsidR="00C02C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Róg - Instrument główny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I1-01</w:t>
            </w:r>
          </w:p>
        </w:tc>
      </w:tr>
      <w:tr w:rsidR="00C02C25" w14:paraId="749E19E5" w14:textId="77777777">
        <w:tc>
          <w:tcPr>
            <w:tcW w:w="9062" w:type="dxa"/>
            <w:gridSpan w:val="11"/>
          </w:tcPr>
          <w:p w14:paraId="340D12FC" w14:textId="77777777" w:rsidR="00C02C2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C02C25" w14:paraId="74F9F41C" w14:textId="77777777">
        <w:tc>
          <w:tcPr>
            <w:tcW w:w="4393" w:type="dxa"/>
            <w:gridSpan w:val="5"/>
          </w:tcPr>
          <w:p w14:paraId="705469EA" w14:textId="77777777" w:rsidR="00C02C2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71701C48" w14:textId="77777777" w:rsidR="00C02C2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Róg</w:t>
            </w:r>
          </w:p>
        </w:tc>
      </w:tr>
      <w:tr w:rsidR="00C02C25" w14:paraId="50B2CF13" w14:textId="77777777">
        <w:tc>
          <w:tcPr>
            <w:tcW w:w="4393" w:type="dxa"/>
            <w:gridSpan w:val="5"/>
          </w:tcPr>
          <w:p w14:paraId="3416BD0D" w14:textId="77777777" w:rsidR="00C02C2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675F5E55" w14:textId="77777777" w:rsidR="00C02C2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C02C25" w14:paraId="771C8651" w14:textId="77777777">
        <w:tc>
          <w:tcPr>
            <w:tcW w:w="2754" w:type="dxa"/>
            <w:gridSpan w:val="2"/>
          </w:tcPr>
          <w:p w14:paraId="76BEF0D4" w14:textId="77777777" w:rsidR="00C02C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przedmiot główny</w:t>
            </w:r>
          </w:p>
        </w:tc>
        <w:tc>
          <w:tcPr>
            <w:tcW w:w="2940" w:type="dxa"/>
            <w:gridSpan w:val="5"/>
          </w:tcPr>
          <w:p w14:paraId="1629E88F" w14:textId="77777777" w:rsidR="00C02C2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60CB6CDF" w14:textId="77777777" w:rsidR="00C02C25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możliwośc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prowadzenia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zajęc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w innych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językach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: niemiecki, rosyjski </w:t>
            </w:r>
          </w:p>
        </w:tc>
      </w:tr>
      <w:tr w:rsidR="00C02C25" w14:paraId="3D10DC22" w14:textId="77777777">
        <w:tc>
          <w:tcPr>
            <w:tcW w:w="9062" w:type="dxa"/>
            <w:gridSpan w:val="11"/>
          </w:tcPr>
          <w:p w14:paraId="1C59D36E" w14:textId="77777777" w:rsidR="00C02C2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C02C25" w14:paraId="20D50A81" w14:textId="77777777">
        <w:tc>
          <w:tcPr>
            <w:tcW w:w="9062" w:type="dxa"/>
            <w:gridSpan w:val="11"/>
          </w:tcPr>
          <w:p w14:paraId="4AD9CE88" w14:textId="65AA531C" w:rsidR="00C02C2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dr Adam Wolny, mgr Ryszard Kurzak</w:t>
            </w:r>
            <w:r w:rsidR="00171EA7">
              <w:rPr>
                <w:rFonts w:ascii="Cambria" w:eastAsia="Cambria" w:hAnsi="Cambria" w:cs="Cambria"/>
                <w:sz w:val="20"/>
                <w:szCs w:val="20"/>
              </w:rPr>
              <w:t>, mgr Wawrzyniec Szymański</w:t>
            </w:r>
          </w:p>
        </w:tc>
      </w:tr>
      <w:tr w:rsidR="00C02C25" w14:paraId="030C04ED" w14:textId="77777777">
        <w:tc>
          <w:tcPr>
            <w:tcW w:w="9062" w:type="dxa"/>
            <w:gridSpan w:val="11"/>
          </w:tcPr>
          <w:p w14:paraId="2800BB33" w14:textId="77777777" w:rsidR="00C02C25" w:rsidRDefault="00C02C2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F1A602E" w14:textId="77777777" w:rsidR="00C02C2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71E89794" w14:textId="77777777" w:rsidR="00C02C25" w:rsidRDefault="00C02C2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C02C25" w14:paraId="27DFAF90" w14:textId="77777777">
        <w:tc>
          <w:tcPr>
            <w:tcW w:w="9062" w:type="dxa"/>
            <w:gridSpan w:val="11"/>
          </w:tcPr>
          <w:p w14:paraId="7F25AAD2" w14:textId="77777777" w:rsidR="00C02C2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Przekazanie podstawowego zasobu wiedzy i umiejętności warsztatowych oraz artystycznych.</w:t>
            </w:r>
          </w:p>
          <w:p w14:paraId="6317395E" w14:textId="77777777" w:rsidR="00C02C2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Osiągnięcie przez studenta umiejętności swobodnego i kreatywnego posługiwania się środkami przekazu artystycznego w obrębie specjalności, tworzenia i realizowania własnych koncepcji artystycznych, stosując różne środki ekspresji artystycznej.</w:t>
            </w:r>
          </w:p>
          <w:p w14:paraId="0D00BE51" w14:textId="77777777" w:rsidR="00C02C2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Wspieranie studenta w jego dążeniu do intensywnego rozwoju, wstępne ukierunkowanie na właściwą jego predyspozycjom dalszą specjalizację.</w:t>
            </w:r>
          </w:p>
          <w:p w14:paraId="7091E3DE" w14:textId="77777777" w:rsidR="00C02C25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Przygotowanie studenta do podjęcia studiów II stopnia. </w:t>
            </w:r>
          </w:p>
        </w:tc>
      </w:tr>
      <w:tr w:rsidR="00C02C25" w14:paraId="4F13B95C" w14:textId="77777777">
        <w:tc>
          <w:tcPr>
            <w:tcW w:w="9062" w:type="dxa"/>
            <w:gridSpan w:val="11"/>
          </w:tcPr>
          <w:p w14:paraId="4B5F0127" w14:textId="77777777" w:rsidR="00C02C25" w:rsidRDefault="00C02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16BC06D8" w14:textId="77777777" w:rsidR="00C02C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465F3F7F" w14:textId="77777777" w:rsidR="00C02C25" w:rsidRDefault="00C02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C02C25" w14:paraId="664CD50D" w14:textId="77777777">
        <w:tc>
          <w:tcPr>
            <w:tcW w:w="9062" w:type="dxa"/>
            <w:gridSpan w:val="11"/>
          </w:tcPr>
          <w:p w14:paraId="42BAF08A" w14:textId="77777777" w:rsidR="00C02C25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ogólnomuzycznej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poziomie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szkoły muzycznej.</w:t>
            </w:r>
          </w:p>
          <w:p w14:paraId="18AAAA1D" w14:textId="77777777" w:rsidR="00C02C25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C02C25" w14:paraId="04DAC8D6" w14:textId="77777777">
        <w:trPr>
          <w:trHeight w:val="195"/>
        </w:trPr>
        <w:tc>
          <w:tcPr>
            <w:tcW w:w="9062" w:type="dxa"/>
            <w:gridSpan w:val="11"/>
          </w:tcPr>
          <w:p w14:paraId="2C964E9B" w14:textId="77777777" w:rsidR="00C02C25" w:rsidRDefault="00C02C25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1D5265F4" w14:textId="77777777" w:rsidR="00C02C2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7D1E0CB7" w14:textId="77777777" w:rsidR="00C02C25" w:rsidRDefault="00C02C25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C02C25" w14:paraId="3384BEC3" w14:textId="77777777">
        <w:tc>
          <w:tcPr>
            <w:tcW w:w="9062" w:type="dxa"/>
            <w:gridSpan w:val="11"/>
          </w:tcPr>
          <w:p w14:paraId="58577310" w14:textId="77777777" w:rsidR="00C02C25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Aby poznać reprezentatywny repertuar dla kierunku i zakresu studiów studenci zobowiązani są przerobić najważniejsze pozycje repertuarowe przeznaczone na waltornię: </w:t>
            </w:r>
          </w:p>
          <w:p w14:paraId="2DE604EE" w14:textId="77777777" w:rsidR="00C02C25" w:rsidRDefault="00000000">
            <w:pPr>
              <w:numPr>
                <w:ilvl w:val="0"/>
                <w:numId w:val="1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Reprezentatywne koncerty waltorniowe (np. W.A. Mozart, J. Haydn, A. Vivaldi,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Mercadante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R.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Gliere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J.W.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Stich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J.J.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Quantz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C.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Stamitz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Delerue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O.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Knussen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L. Cherubini, G.P. Telemann, F.A.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Rosetti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F. Förster, R. Strauss, C. Saint-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Saens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C.M. Weber)</w:t>
            </w:r>
          </w:p>
          <w:p w14:paraId="6C57E950" w14:textId="77777777" w:rsidR="00C02C25" w:rsidRPr="00171EA7" w:rsidRDefault="00000000">
            <w:pPr>
              <w:numPr>
                <w:ilvl w:val="0"/>
                <w:numId w:val="13"/>
              </w:numP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Sonaty i utwory cykliczne (np.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L.van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Beethoven, L. Cherubini, B. Marcello, F. Danzi, P. Hindemith, E.Y. Bowen, I. Madsen, W. Kilar, J.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Dvoracek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G. Rossini, R. Glier, W.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Bujanowski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M. Sieber, R. Schumann, G. Delerue, H.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Neuling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S. Berge, B. Britten, J.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Francaix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E. Bozza, B. Anis) </w:t>
            </w:r>
          </w:p>
          <w:p w14:paraId="039E8D84" w14:textId="77777777" w:rsidR="00C02C25" w:rsidRDefault="00000000">
            <w:pPr>
              <w:numPr>
                <w:ilvl w:val="0"/>
                <w:numId w:val="1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reprezentujące różnorodną stylistykę i formy, w tym miniatury waltorniowe </w:t>
            </w:r>
          </w:p>
          <w:p w14:paraId="74A7A032" w14:textId="77777777" w:rsidR="00C02C25" w:rsidRDefault="00000000">
            <w:pPr>
              <w:numPr>
                <w:ilvl w:val="0"/>
                <w:numId w:val="1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utwory rozwijające warsztat techniczny studentów: etiudy, wprawki, ćwiczenia z zakresu współczesnych technik wykonawczych Umiejętności techniczne studentów sprawdzane są raz w roku na specjalnym kolokwium i obejmują zakres materiału technicznego (etiudy, małe formy instrumentalne).</w:t>
            </w:r>
          </w:p>
          <w:p w14:paraId="5DB9948D" w14:textId="77777777" w:rsidR="00C02C25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Jakkolwiek dopuszcza się możliwość względnie dużej elastyczności w realizowaniu programu (np. w związku z przygotowaniem się studenta do konkursów) to jednak stałe wymagania egzaminacyjne dotyczące programu, formy i zakresu prezentacji są niezmienne. Pozycje podane w literaturze podstawowej (tożsame z repertuarem wymaganym na egzaminach semestralnych) stanowią zakres programowy dla każdego studenta. Realizowany program jest również wyznaczony wymaganiami dotyczącymi egzaminu dyplomowego. </w:t>
            </w:r>
          </w:p>
        </w:tc>
      </w:tr>
      <w:tr w:rsidR="00C02C25" w14:paraId="68105D48" w14:textId="77777777">
        <w:tc>
          <w:tcPr>
            <w:tcW w:w="9062" w:type="dxa"/>
            <w:gridSpan w:val="11"/>
          </w:tcPr>
          <w:p w14:paraId="06971B01" w14:textId="77777777" w:rsidR="00C02C25" w:rsidRDefault="00C02C25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6DF3B8DF" w14:textId="77777777" w:rsidR="00C02C2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3A08361A" w14:textId="77777777" w:rsidR="00C02C25" w:rsidRDefault="00C02C25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C02C25" w14:paraId="1C04B237" w14:textId="77777777">
        <w:tc>
          <w:tcPr>
            <w:tcW w:w="9062" w:type="dxa"/>
            <w:gridSpan w:val="11"/>
          </w:tcPr>
          <w:p w14:paraId="56D78B31" w14:textId="77777777" w:rsidR="00C02C25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2603B031" w14:textId="77777777" w:rsidR="00C02C2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ogólną znajomość literatury muzycznej (K_W01) </w:t>
            </w:r>
          </w:p>
          <w:p w14:paraId="768B1606" w14:textId="77777777" w:rsidR="00C02C2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podstawowego repertuaru związanego z zakresem (K_W02) </w:t>
            </w:r>
          </w:p>
          <w:p w14:paraId="50D8D64B" w14:textId="77777777" w:rsidR="00C02C2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umożliwiającą docieranie do niezbędnych informacji (książki, nagrania, materiały nutowe, Internet), ich analizowanie i interpretowanie we właściwy sposób (K_W04) </w:t>
            </w:r>
          </w:p>
          <w:p w14:paraId="29A1EDAA" w14:textId="77777777" w:rsidR="00C02C2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orientuje się w piśmiennictwie dotyczącym kierunku studiów, zarówno w aspekcie historii danej dziedziny lub dyscypliny, jak też jej obecnej kondycji (dotyczy to także Internetu i e-learningu), (K_W05) </w:t>
            </w:r>
          </w:p>
          <w:p w14:paraId="4427543F" w14:textId="77777777" w:rsidR="00C02C2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zrozumienie podstawowych linii rozwojowych w historii muzyki oraz orientację w związanej z tymi zagadnieniami literaturze piśmienniczej (dotyczy to także Internetu i e-learningu), (K_W06) </w:t>
            </w:r>
          </w:p>
          <w:p w14:paraId="33D7C549" w14:textId="77777777" w:rsidR="00C02C2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(K_W07) </w:t>
            </w:r>
          </w:p>
          <w:p w14:paraId="77B85789" w14:textId="77777777" w:rsidR="00C02C2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(K_W08) </w:t>
            </w:r>
          </w:p>
          <w:p w14:paraId="760310B0" w14:textId="77777777" w:rsidR="00C02C2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(K_W09) </w:t>
            </w:r>
          </w:p>
          <w:p w14:paraId="6EA41BC2" w14:textId="77777777" w:rsidR="00C02C2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orientację w zakresie problematyki związanej z technologiami stosowanymi w muzyce oraz w zakresie rozwoju technologicznego związanego ze swoim zakresem (K_W10) </w:t>
            </w:r>
          </w:p>
          <w:p w14:paraId="28C9CA01" w14:textId="77777777" w:rsidR="00C02C2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podstawową wiedzę dotyczącą budowy własnego instrumentu i jego ewentualnej konserwacji, napraw, strojenia itp.(K_W11)</w:t>
            </w:r>
          </w:p>
          <w:p w14:paraId="60574AD3" w14:textId="77777777" w:rsidR="00C02C2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ogólny zakres wiedzy dotyczący marketingowych, finansowych i prawnych aspektów zawodu muzyka, ze zwróceniem szczególnej uwagi na zagadnienia związane z prawem autorskim (K_W12) </w:t>
            </w:r>
          </w:p>
          <w:p w14:paraId="0FDE5EEA" w14:textId="77777777" w:rsidR="00C02C2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14:paraId="60EBFDD0" w14:textId="77777777" w:rsidR="00C02C2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 (K_W14) </w:t>
            </w:r>
          </w:p>
          <w:p w14:paraId="5875075A" w14:textId="77777777" w:rsidR="00C02C2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podstawowych koncepcji pedagogicznych i ich praktycznego zastosowania, dającą kwalifikacje do nauczania w swoim zakresie (K_W16) </w:t>
            </w:r>
          </w:p>
          <w:p w14:paraId="1CA7EC07" w14:textId="77777777" w:rsidR="00C02C25" w:rsidRDefault="00C02C25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1168455" w14:textId="77777777" w:rsidR="00C02C25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07DFAF23" w14:textId="77777777" w:rsidR="00C02C25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umiejętnościami potrzebnymi do tworzenia i realizowania własnych koncepcji artystycznych (K_U01) </w:t>
            </w:r>
          </w:p>
          <w:p w14:paraId="2B4E87BD" w14:textId="77777777" w:rsidR="00C02C25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świadomy sposobów wykorzystywania swej intuicji, emocjonalności i wyobraźni w obszarze ekspresji artystycznej (K_U02) </w:t>
            </w:r>
          </w:p>
          <w:p w14:paraId="7EBA3612" w14:textId="77777777" w:rsidR="00C02C25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zrozumienie wzajemnych relacji zachodzących pomiędzy rodzajem stosowanej w danym dziele ekspresji artystycznej a niesionym przez niego komunikatem (K_U03) </w:t>
            </w:r>
          </w:p>
          <w:p w14:paraId="48B95DA1" w14:textId="77777777" w:rsidR="00C02C25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0A49C488" w14:textId="77777777" w:rsidR="00C02C25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(K_U05) </w:t>
            </w:r>
          </w:p>
          <w:p w14:paraId="4B053D1E" w14:textId="77777777" w:rsidR="00C02C25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23068C14" w14:textId="77777777" w:rsidR="00C02C25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(K_U09) </w:t>
            </w:r>
          </w:p>
          <w:p w14:paraId="4D38AF7C" w14:textId="77777777" w:rsidR="00C02C25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warsztat techniczny potrzebny do profesjonalnej prezentacji muzycznej i jest świadomy problemów specyficznych dla danego instrumentu (intonacja, precyzja itp.), (K_U10) </w:t>
            </w:r>
          </w:p>
          <w:p w14:paraId="12B1082F" w14:textId="77777777" w:rsidR="00C02C25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(K_U11) </w:t>
            </w:r>
          </w:p>
          <w:p w14:paraId="2C93A846" w14:textId="77777777" w:rsidR="00C02C25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poprzez opanowanie efektywnych technik ćwiczenia wykazuje umiejętność samodzielnego doskonalenia warsztatu technicznego (K_U12) </w:t>
            </w:r>
          </w:p>
          <w:p w14:paraId="37AB5DEC" w14:textId="77777777" w:rsidR="00C02C25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(K_U13) </w:t>
            </w:r>
          </w:p>
          <w:p w14:paraId="443EEE11" w14:textId="77777777" w:rsidR="00C02C25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14:paraId="3D3FD905" w14:textId="77777777" w:rsidR="00C02C25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posiada podstawowe umiejętności kształtowania i tworzenia muzyki w sposób umożliwiający odejście od zapisanego tekstu nutowego (K_U17) </w:t>
            </w:r>
          </w:p>
          <w:p w14:paraId="55755C4C" w14:textId="77777777" w:rsidR="00C02C25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wykazuje umiejętność radzenia sobie z różnymi stresowymi sytuacjami z nich wynikającymi (K_U18) </w:t>
            </w:r>
          </w:p>
          <w:p w14:paraId="1262B464" w14:textId="77777777" w:rsidR="00C02C25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(K_U19) </w:t>
            </w:r>
          </w:p>
          <w:p w14:paraId="6FAF1F91" w14:textId="77777777" w:rsidR="00C02C25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wykazuje umiejętność praktycznego zastosowania wiedzy dotyczącej podstawowych koncepcji pedagogicznych, dającą kwalifikacje do nauczania w zakresie swej specjalności na poziomie podstawowym edukacji muzycznej (K_U20)</w:t>
            </w:r>
          </w:p>
          <w:p w14:paraId="2C5AE335" w14:textId="77777777" w:rsidR="00C02C25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35CB2087" w14:textId="77777777" w:rsidR="00C02C2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(K_K01)</w:t>
            </w:r>
          </w:p>
          <w:p w14:paraId="4CAB9E54" w14:textId="77777777" w:rsidR="00C02C2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(K_K02) </w:t>
            </w:r>
          </w:p>
          <w:p w14:paraId="6EE5DAB3" w14:textId="77777777" w:rsidR="00C02C2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samooceny, jak też jest zdolny do budowania konstruktywnej krytyki w obrębie działań muzycznych, artystycznych oraz w obszarze szeroko pojmowanej kultury (K_K04) </w:t>
            </w:r>
          </w:p>
          <w:p w14:paraId="0303EB3C" w14:textId="77777777" w:rsidR="00C02C2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definiowania własnych sądów i przemyśleń na tematy społeczne, naukowe i etyczne oraz umie je umiejscowić w obrębie własnej pracy artystycznej (K_K05) </w:t>
            </w:r>
          </w:p>
          <w:p w14:paraId="486406FB" w14:textId="77777777" w:rsidR="00C02C2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zorganizowany podchodzi do rozwiązywania problemów dotyczących szeroko pojętych prac projektowych, jak również własnych działań artystycznych (K_K08) </w:t>
            </w:r>
          </w:p>
          <w:p w14:paraId="406CAF24" w14:textId="77777777" w:rsidR="00C02C2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(K_K09) </w:t>
            </w:r>
          </w:p>
          <w:p w14:paraId="2487CE66" w14:textId="77777777" w:rsidR="00C02C2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posługiwać się fachową terminologią z zakresu dziedziny muzyki (K_K10)</w:t>
            </w:r>
          </w:p>
          <w:p w14:paraId="0905DC20" w14:textId="77777777" w:rsidR="00C02C2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(K_K13) </w:t>
            </w:r>
          </w:p>
          <w:p w14:paraId="40DA6C86" w14:textId="77777777" w:rsidR="00C02C2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  <w:p w14:paraId="168233AA" w14:textId="77777777" w:rsidR="00C02C2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kontroluje swoje emocje i zachowania (K_K15) </w:t>
            </w:r>
          </w:p>
        </w:tc>
      </w:tr>
      <w:tr w:rsidR="00C02C25" w14:paraId="7738E0B7" w14:textId="77777777">
        <w:tc>
          <w:tcPr>
            <w:tcW w:w="9062" w:type="dxa"/>
            <w:gridSpan w:val="11"/>
          </w:tcPr>
          <w:p w14:paraId="7B3596F5" w14:textId="77777777" w:rsidR="00C02C25" w:rsidRDefault="00C02C25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51ED30EF" w14:textId="77777777" w:rsidR="00C02C2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137B2B4D" w14:textId="77777777" w:rsidR="00C02C25" w:rsidRDefault="00C02C25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C02C25" w14:paraId="2A1FB557" w14:textId="77777777">
        <w:tc>
          <w:tcPr>
            <w:tcW w:w="2281" w:type="dxa"/>
          </w:tcPr>
          <w:p w14:paraId="5C11D214" w14:textId="77777777" w:rsidR="00C02C2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32B51E03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694D1D46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4E68EB82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C02C25" w14:paraId="72FD9DAD" w14:textId="77777777">
        <w:tc>
          <w:tcPr>
            <w:tcW w:w="2281" w:type="dxa"/>
          </w:tcPr>
          <w:p w14:paraId="1D7C9FA7" w14:textId="77777777" w:rsidR="00C02C2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5105835D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5B8D5B61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58F774D9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284A9627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506F3088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54A5AD7E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C02C25" w14:paraId="617C10DA" w14:textId="77777777">
        <w:tc>
          <w:tcPr>
            <w:tcW w:w="2281" w:type="dxa"/>
          </w:tcPr>
          <w:p w14:paraId="0696ED10" w14:textId="77777777" w:rsidR="00C02C2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671131FD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19B79313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77" w:type="dxa"/>
          </w:tcPr>
          <w:p w14:paraId="3292036A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2699C63C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14:paraId="7456C5A2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104" w:type="dxa"/>
          </w:tcPr>
          <w:p w14:paraId="3FE8CFE3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C02C25" w14:paraId="56735308" w14:textId="77777777">
        <w:tc>
          <w:tcPr>
            <w:tcW w:w="2281" w:type="dxa"/>
          </w:tcPr>
          <w:p w14:paraId="6F9F6FC8" w14:textId="77777777" w:rsidR="00C02C2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52903DC5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029EA0FC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1A92A509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06D21AAC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4555FF24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0F29ECEF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02C25" w14:paraId="0347762F" w14:textId="77777777">
        <w:tc>
          <w:tcPr>
            <w:tcW w:w="2281" w:type="dxa"/>
          </w:tcPr>
          <w:p w14:paraId="21453B51" w14:textId="77777777" w:rsidR="00C02C2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78014AFE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64A6F7CB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77" w:type="dxa"/>
          </w:tcPr>
          <w:p w14:paraId="747D1ACF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7E7A5EE6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37978661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4B0B1593" w14:textId="77777777" w:rsidR="00C02C2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C02C25" w14:paraId="22279B35" w14:textId="77777777">
        <w:tc>
          <w:tcPr>
            <w:tcW w:w="9062" w:type="dxa"/>
            <w:gridSpan w:val="11"/>
          </w:tcPr>
          <w:p w14:paraId="678D8B04" w14:textId="77777777" w:rsidR="00C02C25" w:rsidRDefault="00C02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3C1AFD29" w14:textId="77777777" w:rsidR="00C02C2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726EDD2A" w14:textId="77777777" w:rsidR="00C02C25" w:rsidRDefault="00C02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C02C25" w14:paraId="5191FA96" w14:textId="77777777">
        <w:tc>
          <w:tcPr>
            <w:tcW w:w="9062" w:type="dxa"/>
            <w:gridSpan w:val="11"/>
          </w:tcPr>
          <w:p w14:paraId="6479F8F9" w14:textId="77777777" w:rsidR="00C02C25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recitalu dyplomowego.</w:t>
            </w:r>
          </w:p>
          <w:p w14:paraId="3651558E" w14:textId="77777777" w:rsidR="00C02C25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Napisanie pracy dyplomowej i jej obrona.</w:t>
            </w:r>
          </w:p>
          <w:p w14:paraId="694BEE0B" w14:textId="77777777" w:rsidR="00C02C25" w:rsidRDefault="00C02C25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0F80473" w14:textId="77777777" w:rsidR="00C02C25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65CF6B32" w14:textId="77777777" w:rsidR="00C02C25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warsztat wykonawczy – umiejętności techniczne</w:t>
            </w:r>
          </w:p>
          <w:p w14:paraId="61503893" w14:textId="77777777" w:rsidR="00C02C25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</w:t>
            </w:r>
          </w:p>
          <w:p w14:paraId="5D975051" w14:textId="77777777" w:rsidR="00C02C25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logika narracji muzycznej </w:t>
            </w:r>
          </w:p>
          <w:p w14:paraId="10F1295E" w14:textId="77777777" w:rsidR="00C02C25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frazowanie </w:t>
            </w:r>
          </w:p>
          <w:p w14:paraId="0ECCAAE2" w14:textId="77777777" w:rsidR="00C02C25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umiejętność wypowiedzi w różnych stylach i formach muzycznych </w:t>
            </w:r>
          </w:p>
          <w:p w14:paraId="5CC44843" w14:textId="77777777" w:rsidR="00C02C25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dźwięku i jego jakość estetyczna</w:t>
            </w:r>
          </w:p>
          <w:p w14:paraId="711519F7" w14:textId="77777777" w:rsidR="00C02C25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intonacja </w:t>
            </w:r>
          </w:p>
        </w:tc>
      </w:tr>
      <w:tr w:rsidR="00C02C25" w14:paraId="018E1A61" w14:textId="77777777">
        <w:tc>
          <w:tcPr>
            <w:tcW w:w="9062" w:type="dxa"/>
            <w:gridSpan w:val="11"/>
          </w:tcPr>
          <w:p w14:paraId="68472EDF" w14:textId="77777777" w:rsidR="00C02C25" w:rsidRDefault="00C02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0DDE0DD0" w14:textId="77777777" w:rsidR="00C02C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1AC48E26" w14:textId="77777777" w:rsidR="00C02C25" w:rsidRDefault="00C02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C02C25" w:rsidRPr="00171EA7" w14:paraId="04486F54" w14:textId="77777777">
        <w:tc>
          <w:tcPr>
            <w:tcW w:w="9062" w:type="dxa"/>
            <w:gridSpan w:val="11"/>
          </w:tcPr>
          <w:p w14:paraId="4396B528" w14:textId="77777777" w:rsidR="00C02C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</w:p>
          <w:p w14:paraId="07B0A909" w14:textId="77777777" w:rsidR="00C02C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Etiudy: </w:t>
            </w:r>
          </w:p>
          <w:p w14:paraId="1F51739F" w14:textId="77777777" w:rsidR="00C02C25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B.Krol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Naturhorn-Studien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12CD5AD4" w14:textId="77777777" w:rsidR="00C02C25" w:rsidRPr="00171EA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B.Tuckwell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- Fifty first exercises for horn </w:t>
            </w:r>
          </w:p>
          <w:p w14:paraId="6B22361A" w14:textId="77777777" w:rsidR="00C02C25" w:rsidRPr="00171EA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A.Belloli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Ausgewählte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Etüden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Helf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1, 2 </w:t>
            </w:r>
          </w:p>
          <w:p w14:paraId="1A828167" w14:textId="77777777" w:rsidR="00C02C25" w:rsidRPr="00171EA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J.</w:t>
            </w:r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R.Lewy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Ausgewählte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Etüden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Helf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1, 2 </w:t>
            </w:r>
          </w:p>
          <w:p w14:paraId="1BAB0CEF" w14:textId="77777777" w:rsidR="00C02C25" w:rsidRPr="00171EA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J.</w:t>
            </w:r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D.Artot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Ausgewählte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Etüden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Helf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1, 2,3 </w:t>
            </w:r>
          </w:p>
          <w:p w14:paraId="0C1BEF5D" w14:textId="77777777" w:rsidR="00C02C25" w:rsidRPr="00171EA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B.Bergonzi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Capricci per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Corno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da Caccia </w:t>
            </w:r>
          </w:p>
          <w:p w14:paraId="26BA81A7" w14:textId="77777777" w:rsidR="00C02C25" w:rsidRPr="00171EA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G.Barboteu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20 Etudes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Concrtantes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pour horn </w:t>
            </w:r>
          </w:p>
          <w:p w14:paraId="5C0CA65A" w14:textId="77777777" w:rsidR="00C02C25" w:rsidRPr="00171EA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A,Frehse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Etüden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für horn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helf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1,2 </w:t>
            </w:r>
          </w:p>
          <w:p w14:paraId="6C56BDDC" w14:textId="77777777" w:rsidR="00C02C25" w:rsidRPr="00171EA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J.</w:t>
            </w:r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F.Gallay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Zwölf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Etüden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für horn </w:t>
            </w:r>
          </w:p>
          <w:p w14:paraId="56BE81BA" w14:textId="77777777" w:rsidR="00C02C25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Inne etiudy o zbliżonym stopniu trudności. </w:t>
            </w:r>
          </w:p>
          <w:p w14:paraId="6583B07B" w14:textId="77777777" w:rsidR="00C02C25" w:rsidRDefault="00C02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8165ED1" w14:textId="77777777" w:rsidR="00C02C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Koncerty: </w:t>
            </w:r>
          </w:p>
          <w:p w14:paraId="5D401C44" w14:textId="77777777" w:rsidR="00C02C25" w:rsidRPr="00171EA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W.</w:t>
            </w:r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A.Mozart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Koncert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rondo Es-dur K.V. 371 </w:t>
            </w:r>
          </w:p>
          <w:p w14:paraId="7F893A36" w14:textId="77777777" w:rsidR="00C02C25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W.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A.Mozart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na róg nr 1 D-dur K.V 412 </w:t>
            </w:r>
          </w:p>
          <w:p w14:paraId="4E8B1DD5" w14:textId="77777777" w:rsidR="00C02C25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W.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A.Mozart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na róg nr 2 Es-dur K.V 417 </w:t>
            </w:r>
          </w:p>
          <w:p w14:paraId="4A0443BA" w14:textId="77777777" w:rsidR="00C02C25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W.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A.Mozart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na róg nr 3 Es-dur K.V 447 </w:t>
            </w:r>
          </w:p>
          <w:p w14:paraId="20A71E20" w14:textId="77777777" w:rsidR="00C02C25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W.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A.Mozart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na róg nr 4 Es-dur K.V 495 </w:t>
            </w:r>
          </w:p>
          <w:p w14:paraId="463B6626" w14:textId="77777777" w:rsidR="00C02C25" w:rsidRPr="00171EA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J. Haydn –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Koncert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nr 1 D-dur </w:t>
            </w:r>
          </w:p>
          <w:p w14:paraId="6FCAA64E" w14:textId="77777777" w:rsidR="00C02C25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Haydn – Koncert na 2 rogi Es- dur </w:t>
            </w:r>
          </w:p>
          <w:p w14:paraId="4C5AEAC2" w14:textId="77777777" w:rsidR="00C02C25" w:rsidRPr="00171EA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J.</w:t>
            </w:r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S.Skroup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Koncert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B-dur </w:t>
            </w:r>
          </w:p>
          <w:p w14:paraId="56ECE805" w14:textId="77777777" w:rsidR="00C02C25" w:rsidRPr="00171EA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A.Vivaldi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Concerto In Fa Maggiore </w:t>
            </w:r>
          </w:p>
          <w:p w14:paraId="598DF5F6" w14:textId="77777777" w:rsidR="00C02C25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Mercadante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Concerto Per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Corno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3621B8A8" w14:textId="77777777" w:rsidR="00C02C25" w:rsidRPr="00171EA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R.Gliere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Concerto in B major for Horn Op 91 </w:t>
            </w:r>
          </w:p>
          <w:p w14:paraId="46B5DA26" w14:textId="77777777" w:rsidR="00C02C25" w:rsidRPr="00171EA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J.</w:t>
            </w:r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W.Stich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Concerto für horn </w:t>
            </w:r>
          </w:p>
          <w:p w14:paraId="497ECAD5" w14:textId="77777777" w:rsidR="00C02C25" w:rsidRPr="00171EA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J.</w:t>
            </w:r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J.Quantz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Konzert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für horn Es-dur </w:t>
            </w:r>
          </w:p>
          <w:p w14:paraId="20381DDB" w14:textId="77777777" w:rsidR="00C02C25" w:rsidRPr="00171EA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C.Stamitz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Koncert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for Horn Es-dur </w:t>
            </w:r>
          </w:p>
          <w:p w14:paraId="23DE112F" w14:textId="77777777" w:rsidR="00C02C25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G.Delerue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Concerto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pour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1945FB83" w14:textId="77777777" w:rsidR="00C02C25" w:rsidRPr="00171EA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O.Knussen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Horn Concert Op.28 </w:t>
            </w:r>
          </w:p>
          <w:p w14:paraId="2CCE9659" w14:textId="77777777" w:rsidR="00C02C25" w:rsidRPr="00171EA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L.Cherubini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Konzert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F-dur für horn </w:t>
            </w:r>
          </w:p>
          <w:p w14:paraId="0C6AB24C" w14:textId="77777777" w:rsidR="00C02C25" w:rsidRPr="00171EA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G.</w:t>
            </w:r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P.Telemann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Concerto D-dur für horn </w:t>
            </w:r>
          </w:p>
          <w:p w14:paraId="7446B88A" w14:textId="77777777" w:rsidR="00C02C25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J.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M.Haydn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Concertino </w:t>
            </w:r>
          </w:p>
          <w:p w14:paraId="58228968" w14:textId="77777777" w:rsidR="00C02C25" w:rsidRPr="00171EA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F.</w:t>
            </w:r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A.Rosetti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Koncert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Es-dur </w:t>
            </w:r>
          </w:p>
          <w:p w14:paraId="3FFE3D9D" w14:textId="77777777" w:rsidR="00C02C25" w:rsidRPr="00171EA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F.</w:t>
            </w:r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A.Rosetti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Koncert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d-moll </w:t>
            </w:r>
          </w:p>
          <w:p w14:paraId="178E79EB" w14:textId="77777777" w:rsidR="00C02C25" w:rsidRPr="00171EA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F.</w:t>
            </w:r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A.Rosetti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Koncert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F-dur </w:t>
            </w:r>
          </w:p>
          <w:p w14:paraId="4FE7E398" w14:textId="77777777" w:rsidR="00C02C25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F.Förster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Es-dur </w:t>
            </w:r>
          </w:p>
          <w:p w14:paraId="0E13130A" w14:textId="77777777" w:rsidR="00C02C25" w:rsidRPr="00171EA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R.Strauss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Koncert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nr 1 Es -dur </w:t>
            </w:r>
          </w:p>
          <w:p w14:paraId="0CCE31CA" w14:textId="77777777" w:rsidR="00C02C25" w:rsidRPr="00171EA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R.Strauss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Koncert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nr 2 Es -dur </w:t>
            </w:r>
          </w:p>
          <w:p w14:paraId="5D58CCFA" w14:textId="77777777" w:rsidR="00C02C25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F.Strauss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Koncert F-dur </w:t>
            </w:r>
          </w:p>
          <w:p w14:paraId="32BC6E4F" w14:textId="77777777" w:rsidR="00C02C25" w:rsidRPr="00171EA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C.Saint-Saens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Concertpiece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op.94 </w:t>
            </w:r>
          </w:p>
          <w:p w14:paraId="01E09E3A" w14:textId="77777777" w:rsidR="00C02C25" w:rsidRPr="00171EA7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C.</w:t>
            </w:r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M.Weber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Concertino e-moll op.45 </w:t>
            </w:r>
          </w:p>
          <w:p w14:paraId="2122BC29" w14:textId="77777777" w:rsidR="00C02C25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Inne koncerty o zbliżonym stopniu trudności.</w:t>
            </w:r>
          </w:p>
          <w:p w14:paraId="4C99475D" w14:textId="77777777" w:rsidR="00C02C25" w:rsidRDefault="00C02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F539CCB" w14:textId="77777777" w:rsidR="00C02C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Sonaty: </w:t>
            </w:r>
          </w:p>
          <w:p w14:paraId="35B2E1B4" w14:textId="77777777" w:rsidR="00C02C25" w:rsidRPr="00171EA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L.van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Beethoven – Sonata F-dur </w:t>
            </w:r>
          </w:p>
          <w:p w14:paraId="2A897495" w14:textId="77777777" w:rsidR="00C02C25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L.Cherubini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nr 1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für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horn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764A48D3" w14:textId="77777777" w:rsidR="00C02C25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L.Cherubini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nr 2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für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horn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1AD8B88C" w14:textId="77777777" w:rsidR="00C02C25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B.Marcello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</w:t>
            </w:r>
          </w:p>
          <w:p w14:paraId="072C89EF" w14:textId="77777777" w:rsidR="00C02C25" w:rsidRPr="00171EA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F.Danzi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Sonate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Es-dur op.28 </w:t>
            </w:r>
          </w:p>
          <w:p w14:paraId="52B45CB5" w14:textId="77777777" w:rsidR="00C02C25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P.Hindemit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Sanata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nr 1 </w:t>
            </w:r>
          </w:p>
          <w:p w14:paraId="6C555F26" w14:textId="77777777" w:rsidR="00C02C25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P.Hindemit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Sanata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nr 2 </w:t>
            </w:r>
          </w:p>
          <w:p w14:paraId="22301504" w14:textId="77777777" w:rsidR="00C02C25" w:rsidRPr="00171EA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E.</w:t>
            </w:r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Y.Bowen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Sonata in E flat </w:t>
            </w:r>
          </w:p>
          <w:p w14:paraId="29A2F69F" w14:textId="77777777" w:rsidR="00C02C25" w:rsidRPr="00171EA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I.Madsen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Sonata </w:t>
            </w:r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For</w:t>
            </w:r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Horn And Piano Op.24 </w:t>
            </w:r>
          </w:p>
          <w:p w14:paraId="6BDC0621" w14:textId="77777777" w:rsidR="00C02C25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W.Kilar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Sonata na róg </w:t>
            </w:r>
          </w:p>
          <w:p w14:paraId="72E40E0E" w14:textId="77777777" w:rsidR="00C02C25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Inne sonaty o zbliżonym stopniu trudności. </w:t>
            </w:r>
          </w:p>
          <w:p w14:paraId="31FC28D8" w14:textId="77777777" w:rsidR="00C02C25" w:rsidRDefault="00C02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1B7C6C1" w14:textId="77777777" w:rsidR="00C02C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Formy swobodne: </w:t>
            </w:r>
          </w:p>
          <w:p w14:paraId="72509D3F" w14:textId="77777777" w:rsidR="00C02C2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J.Dvoracek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Per Duo </w:t>
            </w:r>
          </w:p>
          <w:p w14:paraId="19AD7080" w14:textId="77777777" w:rsidR="00C02C2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J.Francaix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divertimento </w:t>
            </w:r>
          </w:p>
          <w:p w14:paraId="2DC1A6A8" w14:textId="77777777" w:rsidR="00C02C2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E.Bozza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en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Irlande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792351CC" w14:textId="77777777" w:rsidR="00C02C2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E.Bozza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Sur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Cimes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5B05E5FC" w14:textId="77777777" w:rsidR="00C02C2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Marc-Carles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Choral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C54DD86" w14:textId="77777777" w:rsidR="00C02C2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B.Anisimow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Poema </w:t>
            </w:r>
          </w:p>
          <w:p w14:paraId="2EC32384" w14:textId="77777777" w:rsidR="00C02C25" w:rsidRPr="00171EA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G.Rossini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Prelune,Theme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And Variations </w:t>
            </w:r>
          </w:p>
          <w:p w14:paraId="0F363D86" w14:textId="77777777" w:rsidR="00C02C25" w:rsidRPr="00171EA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R.Glier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Nokturn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op 35 nr 10 </w:t>
            </w:r>
          </w:p>
          <w:p w14:paraId="2EE2E47E" w14:textId="77777777" w:rsidR="00C02C25" w:rsidRPr="00171EA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R.Glier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Intermezzo op 35 nr 11 </w:t>
            </w:r>
          </w:p>
          <w:p w14:paraId="5164930F" w14:textId="77777777" w:rsidR="00C02C25" w:rsidRPr="00171EA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R.Glier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Romans op 35 nr 6 </w:t>
            </w:r>
          </w:p>
          <w:p w14:paraId="1A6A85C3" w14:textId="77777777" w:rsidR="00C02C2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R.Glier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Smutny Walc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op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35 nr 7 </w:t>
            </w:r>
          </w:p>
          <w:p w14:paraId="039A3F1E" w14:textId="77777777" w:rsidR="00C02C2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W.Bujanowski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Espana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4F741AFE" w14:textId="77777777" w:rsidR="00C02C2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M.Sieber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Notturno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For Horn </w:t>
            </w:r>
          </w:p>
          <w:p w14:paraId="343C6BD9" w14:textId="77777777" w:rsidR="00C02C25" w:rsidRPr="00171EA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R.Schumann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Adagio und Allegro op.70 </w:t>
            </w:r>
          </w:p>
          <w:p w14:paraId="0D023B0D" w14:textId="77777777" w:rsidR="00C02C2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G.Delerue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Poeme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Fantasque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9A025AF" w14:textId="77777777" w:rsidR="00C02C2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H.Neuling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Bagatelle</w:t>
            </w:r>
            <w:proofErr w:type="spellEnd"/>
          </w:p>
          <w:p w14:paraId="7FD27ABE" w14:textId="77777777" w:rsidR="00C02C2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S.Berge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Horn-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Lokk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48BBD8DD" w14:textId="77777777" w:rsidR="00C02C25" w:rsidRPr="00171EA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B.Britten</w:t>
            </w:r>
            <w:proofErr w:type="spellEnd"/>
            <w:proofErr w:type="gram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– Serenade for Tenor 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Solo,Horn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and Strings </w:t>
            </w:r>
          </w:p>
          <w:p w14:paraId="697B6A47" w14:textId="77777777" w:rsidR="00C02C2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Inne utwory o zbliżonym stopniu trudności.</w:t>
            </w:r>
          </w:p>
          <w:p w14:paraId="3EA91762" w14:textId="77777777" w:rsidR="00C02C25" w:rsidRDefault="00C02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7F2F286" w14:textId="77777777" w:rsidR="00C02C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uzupełniająca</w:t>
            </w:r>
          </w:p>
          <w:p w14:paraId="3E4EFC69" w14:textId="77777777" w:rsidR="00C02C25" w:rsidRPr="00171EA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H. Fitzpatrick </w:t>
            </w:r>
            <w:proofErr w:type="gramStart"/>
            <w:r w:rsidRPr="00171EA7">
              <w:rPr>
                <w:rFonts w:ascii="Cambria" w:eastAsia="Cambria" w:hAnsi="Cambria" w:cs="Cambria"/>
                <w:i/>
                <w:sz w:val="20"/>
                <w:szCs w:val="20"/>
                <w:lang w:val="en-US"/>
              </w:rPr>
              <w:t>The</w:t>
            </w:r>
            <w:proofErr w:type="gramEnd"/>
            <w:r w:rsidRPr="00171EA7">
              <w:rPr>
                <w:rFonts w:ascii="Cambria" w:eastAsia="Cambria" w:hAnsi="Cambria" w:cs="Cambria"/>
                <w:i/>
                <w:sz w:val="20"/>
                <w:szCs w:val="20"/>
                <w:lang w:val="en-US"/>
              </w:rPr>
              <w:t xml:space="preserve"> Horn and horn playing and the Austro-Bohemian tradition from 1680 to 1830</w:t>
            </w:r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London 1970 </w:t>
            </w:r>
          </w:p>
          <w:p w14:paraId="77361A0A" w14:textId="77777777" w:rsidR="00C02C25" w:rsidRPr="00171EA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R. Morley-</w:t>
            </w:r>
            <w:proofErr w:type="spellStart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Pegge</w:t>
            </w:r>
            <w:proofErr w:type="spellEnd"/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71EA7">
              <w:rPr>
                <w:rFonts w:ascii="Cambria" w:eastAsia="Cambria" w:hAnsi="Cambria" w:cs="Cambria"/>
                <w:i/>
                <w:sz w:val="20"/>
                <w:szCs w:val="20"/>
                <w:lang w:val="en-US"/>
              </w:rPr>
              <w:t>The</w:t>
            </w:r>
            <w:proofErr w:type="gramEnd"/>
            <w:r w:rsidRPr="00171EA7">
              <w:rPr>
                <w:rFonts w:ascii="Cambria" w:eastAsia="Cambria" w:hAnsi="Cambria" w:cs="Cambria"/>
                <w:i/>
                <w:sz w:val="20"/>
                <w:szCs w:val="20"/>
                <w:lang w:val="en-US"/>
              </w:rPr>
              <w:t xml:space="preserve"> French Horn</w:t>
            </w:r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London 1960 </w:t>
            </w:r>
          </w:p>
          <w:p w14:paraId="7191DFED" w14:textId="77777777" w:rsidR="00C02C25" w:rsidRPr="00171EA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171EA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P. Damm </w:t>
            </w:r>
            <w:r w:rsidRPr="00171EA7">
              <w:rPr>
                <w:rFonts w:ascii="Cambria" w:eastAsia="Cambria" w:hAnsi="Cambria" w:cs="Cambria"/>
                <w:i/>
                <w:sz w:val="20"/>
                <w:szCs w:val="20"/>
                <w:lang w:val="en-US"/>
              </w:rPr>
              <w:t xml:space="preserve">Das Horn in der Mitte des 18 </w:t>
            </w:r>
            <w:proofErr w:type="spellStart"/>
            <w:r w:rsidRPr="00171EA7">
              <w:rPr>
                <w:rFonts w:ascii="Cambria" w:eastAsia="Cambria" w:hAnsi="Cambria" w:cs="Cambria"/>
                <w:i/>
                <w:sz w:val="20"/>
                <w:szCs w:val="20"/>
                <w:lang w:val="en-US"/>
              </w:rPr>
              <w:t>Jarhunderts</w:t>
            </w:r>
            <w:proofErr w:type="spellEnd"/>
            <w:r w:rsidRPr="00171EA7">
              <w:rPr>
                <w:rFonts w:ascii="Cambria" w:eastAsia="Cambria" w:hAnsi="Cambria" w:cs="Cambria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EA7">
              <w:rPr>
                <w:rFonts w:ascii="Cambria" w:eastAsia="Cambria" w:hAnsi="Cambria" w:cs="Cambria"/>
                <w:i/>
                <w:sz w:val="20"/>
                <w:szCs w:val="20"/>
                <w:lang w:val="en-US"/>
              </w:rPr>
              <w:t>zwischen</w:t>
            </w:r>
            <w:proofErr w:type="spellEnd"/>
            <w:r w:rsidRPr="00171EA7">
              <w:rPr>
                <w:rFonts w:ascii="Cambria" w:eastAsia="Cambria" w:hAnsi="Cambria" w:cs="Cambria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EA7">
              <w:rPr>
                <w:rFonts w:ascii="Cambria" w:eastAsia="Cambria" w:hAnsi="Cambria" w:cs="Cambria"/>
                <w:i/>
                <w:sz w:val="20"/>
                <w:szCs w:val="20"/>
                <w:lang w:val="en-US"/>
              </w:rPr>
              <w:t>Clarinblas</w:t>
            </w:r>
            <w:proofErr w:type="spellEnd"/>
            <w:r w:rsidRPr="00171EA7">
              <w:rPr>
                <w:rFonts w:ascii="Cambria" w:eastAsia="Cambria" w:hAnsi="Cambria" w:cs="Cambria"/>
                <w:i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171EA7">
              <w:rPr>
                <w:rFonts w:ascii="Cambria" w:eastAsia="Cambria" w:hAnsi="Cambria" w:cs="Cambria"/>
                <w:i/>
                <w:sz w:val="20"/>
                <w:szCs w:val="20"/>
                <w:lang w:val="en-US"/>
              </w:rPr>
              <w:t>Stopftechnik</w:t>
            </w:r>
            <w:proofErr w:type="spellEnd"/>
            <w:r w:rsidRPr="00171EA7">
              <w:rPr>
                <w:rFonts w:ascii="Cambria" w:eastAsia="Cambria" w:hAnsi="Cambria" w:cs="Cambria"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C02C25" w14:paraId="04A5311D" w14:textId="77777777">
        <w:tc>
          <w:tcPr>
            <w:tcW w:w="9062" w:type="dxa"/>
            <w:gridSpan w:val="11"/>
          </w:tcPr>
          <w:p w14:paraId="69E3901A" w14:textId="77777777" w:rsidR="00C02C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5A1C2430" w14:textId="77777777" w:rsidR="00C02C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C02C25" w14:paraId="38A0A27C" w14:textId="77777777">
        <w:tc>
          <w:tcPr>
            <w:tcW w:w="9062" w:type="dxa"/>
            <w:gridSpan w:val="11"/>
          </w:tcPr>
          <w:p w14:paraId="5059D9AF" w14:textId="77777777" w:rsidR="00C02C25" w:rsidRDefault="00C02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200F89A" w14:textId="77777777" w:rsidR="00C02C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1A4DE03F" w14:textId="77777777" w:rsidR="00C02C25" w:rsidRDefault="00C02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C02C25" w14:paraId="4B53FBF6" w14:textId="77777777">
        <w:tc>
          <w:tcPr>
            <w:tcW w:w="3023" w:type="dxa"/>
            <w:gridSpan w:val="3"/>
          </w:tcPr>
          <w:p w14:paraId="05864179" w14:textId="77777777" w:rsidR="00C02C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0A8A6AF2" w14:textId="77777777" w:rsidR="00C02C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7B356AED" w14:textId="77777777" w:rsidR="00C02C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C02C25" w14:paraId="072EA5D9" w14:textId="77777777">
        <w:trPr>
          <w:trHeight w:val="219"/>
        </w:trPr>
        <w:tc>
          <w:tcPr>
            <w:tcW w:w="3023" w:type="dxa"/>
            <w:gridSpan w:val="3"/>
          </w:tcPr>
          <w:p w14:paraId="6FF5DB90" w14:textId="77777777" w:rsidR="00C02C25" w:rsidRDefault="00C02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45F5234A" w14:textId="77777777" w:rsidR="00C02C25" w:rsidRDefault="00C02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6857B103" w14:textId="77777777" w:rsidR="00C02C25" w:rsidRDefault="00C02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39D1C92" w14:textId="77777777" w:rsidR="00C02C25" w:rsidRDefault="00C02C25">
      <w:pPr>
        <w:rPr>
          <w:rFonts w:ascii="Cambria" w:eastAsia="Cambria" w:hAnsi="Cambria" w:cs="Cambria"/>
          <w:sz w:val="20"/>
          <w:szCs w:val="20"/>
        </w:rPr>
      </w:pPr>
    </w:p>
    <w:p w14:paraId="5D5DE35B" w14:textId="77777777" w:rsidR="00C02C25" w:rsidRDefault="00C02C25">
      <w:pPr>
        <w:rPr>
          <w:rFonts w:ascii="Cambria" w:eastAsia="Cambria" w:hAnsi="Cambria" w:cs="Cambria"/>
        </w:rPr>
      </w:pPr>
    </w:p>
    <w:sectPr w:rsidR="00C02C2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A01EE"/>
    <w:multiLevelType w:val="multilevel"/>
    <w:tmpl w:val="714E37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B447D5"/>
    <w:multiLevelType w:val="multilevel"/>
    <w:tmpl w:val="E9C4A4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154DDC"/>
    <w:multiLevelType w:val="multilevel"/>
    <w:tmpl w:val="5A828A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D40B76"/>
    <w:multiLevelType w:val="multilevel"/>
    <w:tmpl w:val="AE94159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E1D37E6"/>
    <w:multiLevelType w:val="multilevel"/>
    <w:tmpl w:val="6F0E06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4A51B8"/>
    <w:multiLevelType w:val="multilevel"/>
    <w:tmpl w:val="7D6AA9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3B6D46"/>
    <w:multiLevelType w:val="multilevel"/>
    <w:tmpl w:val="E35E34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7853349"/>
    <w:multiLevelType w:val="multilevel"/>
    <w:tmpl w:val="730E70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A8817DF"/>
    <w:multiLevelType w:val="multilevel"/>
    <w:tmpl w:val="DD92EB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4DC33F8"/>
    <w:multiLevelType w:val="multilevel"/>
    <w:tmpl w:val="F75E73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5232BE3"/>
    <w:multiLevelType w:val="multilevel"/>
    <w:tmpl w:val="A8BC9D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6B6302D"/>
    <w:multiLevelType w:val="multilevel"/>
    <w:tmpl w:val="F968B7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886320F"/>
    <w:multiLevelType w:val="multilevel"/>
    <w:tmpl w:val="5C127F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13525117">
    <w:abstractNumId w:val="7"/>
  </w:num>
  <w:num w:numId="2" w16cid:durableId="2040540941">
    <w:abstractNumId w:val="8"/>
  </w:num>
  <w:num w:numId="3" w16cid:durableId="542670427">
    <w:abstractNumId w:val="12"/>
  </w:num>
  <w:num w:numId="4" w16cid:durableId="220405047">
    <w:abstractNumId w:val="4"/>
  </w:num>
  <w:num w:numId="5" w16cid:durableId="312493922">
    <w:abstractNumId w:val="9"/>
  </w:num>
  <w:num w:numId="6" w16cid:durableId="2000109181">
    <w:abstractNumId w:val="5"/>
  </w:num>
  <w:num w:numId="7" w16cid:durableId="627904085">
    <w:abstractNumId w:val="10"/>
  </w:num>
  <w:num w:numId="8" w16cid:durableId="1277326394">
    <w:abstractNumId w:val="0"/>
  </w:num>
  <w:num w:numId="9" w16cid:durableId="1792284028">
    <w:abstractNumId w:val="11"/>
  </w:num>
  <w:num w:numId="10" w16cid:durableId="501167249">
    <w:abstractNumId w:val="6"/>
  </w:num>
  <w:num w:numId="11" w16cid:durableId="1440880166">
    <w:abstractNumId w:val="3"/>
  </w:num>
  <w:num w:numId="12" w16cid:durableId="1281764660">
    <w:abstractNumId w:val="1"/>
  </w:num>
  <w:num w:numId="13" w16cid:durableId="1285501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25"/>
    <w:rsid w:val="00171EA7"/>
    <w:rsid w:val="00773FCD"/>
    <w:rsid w:val="00C0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D2CC77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f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BecFoQ2oDeA8mo+7kWUsomquqA==">CgMxLjA4AHIhMTZxTHhqSkx2eUpzVm1Dbk1JZk1XdUtYMWVubG1qNHk0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1744</Words>
  <Characters>10469</Characters>
  <Application>Microsoft Office Word</Application>
  <DocSecurity>0</DocSecurity>
  <Lines>87</Lines>
  <Paragraphs>24</Paragraphs>
  <ScaleCrop>false</ScaleCrop>
  <Company/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2024-12-03T23:22:00Z</dcterms:created>
  <dcterms:modified xsi:type="dcterms:W3CDTF">2024-12-03T23:22:00Z</dcterms:modified>
</cp:coreProperties>
</file>