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Wiolonczela barokowa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Język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mgr Kazimierz Pyzik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zdobytych na studiach I st. umiejętności warsztatowych pozwalających na swobodne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właściwe wykonanie wymaganego repertuaru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zasobu wiadomości teoretycznych dotyczących historycznego wykonawstwa muzyki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dawnej, zwłaszcza dotyczących specyfiki gry na tzw. wiolonczeli barokowej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swobody w stosowaniu różnorodnych środków artystycznych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samodzielnie przygotowanej i poprawnej stylistycznie interpretacji utworów muzycznych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Zapewnienie wszelkiej pomocy wspierającej indywidualny rozwój zarówno osobowościowy jak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profesjonalny studenta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podjęcia studiów doktoranckich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Wstępne zainteresowanie i ukierunkowanie na specjalizację w profilu kameralno-orkiestrowym, predyspozycje do pracy w charakterze kameralisty.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Swobodne poruszanie się w głównych nurtach stylistycznych i gatunkach muzycznych właściwych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dla literatury przeznaczonej na wiolonczelę solo (senza accompagniato, z basso continuo i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towarzyszeniem innych instrumentów) z okresu od drugiej połowy XVII w. do przełomu XVIII i XIX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stulecia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Informacje teoretyczne i estetyczne zaczerpnięte ze źródeł lub opracowań stanowiące podstawę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samodzielnej interpretacji utworów w nurcie tzw. „wykonawstwa historycznie poinformowanego”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 rozwijanie umiejętności warsztatowych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Podstawą pracy w kolejnych semestrach są następne pozycje repertuarowe i wymagania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ilościowe oraz egzaminacyjne. W uzasadnionych wypadkach dopuszcza się odchylenia od tych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wymagań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dwóch recitali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techniczne i ich adekwatne użycie dla celów interpretacji.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Interpretacja zgodna ze stylem i epoką, osadzona w pogłębionej wiedzy dotyczącej historycznych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 wykonawczych.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Kierownika Katedry.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przydatności pracy do ewentualnej publikacji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D.Popper- Etiudy wiolonczelowe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A.Piatti- Kaprysy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D.Gabrielli- Ricercary, Canzony,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A.Vivaldi- Koncerty,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J.S.Bach- Suity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G.F.Haendel-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P.Locatelli-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F.Geminiani-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G.F.Telemann- Sonaty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L.Boccherini- Sonaty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J.Haydn-Koncerty,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uzupełniająca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Muzyka mową dźwięków, Warszawa 1995.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Dialog muzyczny, Warszawa 1999.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Mozart, Gruntowna szkoła skrzypcowa, Augsburg 1789, tłumaczenie polskie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J.J. Quantz, O zasadach gry na flecie poprzecznym, Berlin 1752, tłumaczenie polskie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Szlagowska, Muzyka baroku, Gdańsk 1998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Tarling, Baroque string playing, St Albans 2000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i5hvG6cduR/J4vzA+W8fjC8lJA==">CgMxLjA4AHIhMThsR0Utb1M3ODVSRUxoUUlwZDkwdlRuMGJIZDd3dmZG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1286</Words>
  <Characters>8877</Characters>
  <CharactersWithSpaces>10187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