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Studia orkiestrowe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Smyczkowych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Kierunek: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Skrzypce - profil solistyczny i profil kameralno - orkiestrowy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ćwiczenia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dr Marcin </w:t>
            </w:r>
            <w:r>
              <w:rPr>
                <w:rFonts w:eastAsia="Arial" w:cs="Arial" w:ascii="Arial" w:hAnsi="Arial"/>
                <w:sz w:val="20"/>
                <w:szCs w:val="20"/>
              </w:rPr>
              <w:t>Danilewski, mgr Agata Kasperska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samodzielnej, kreatywnej pracy w zawodzie muzyka orkiestrowego.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wysokiego poziomu posługiwania się warsztatem instrumentalnym 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obrębie specjalności.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i rozwinięcie wiedzy oraz umiejętności studenta związanych ze ściśle określoną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specjalnością.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Praktyczne poznanie i przygotowanie partii skrzypiec z poszerzonego zakresu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utworów literatury symfonicznej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wybranych sól orkiestrowych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do egzaminów do profesjonalnych zespołów orkiestrowych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Kształtowanie umiejętności samodzielnej pracy nad problemami technicznymi 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wykonawczymi zawartymi w partii skrzypiec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Kształtowanie umiejętności uzyskiwania spójnego brzmienia w ramach sekcji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Pogłębianie umiejętności czytania nut a vista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K_U10 - posiada umiejętność dogłębnego rozumienia i kontrolowania struktur rytmicznych i metrorytmicznych oraz aspektów dotyczących aplikatury, smyczkowania, pedalizacji, frazowania, struktury harmonicznej itp. opracowywanych utworów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K_K08 - wypełnia rolę społeczną absolwenta studiów muzycznych dbając o dorobek, tradycje i aspekty etyczne swojego zawodu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profil solistyczny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profil kameralno - orkiestrowy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Egzamin komisyjny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umiejętności techniczne – warsztat wykonawczy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w kontekście całości utworu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poprawność i różnorodność dynamiczna i artykulacyjna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kształtowanie dźwięku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LITERATURA</w:t>
            </w:r>
          </w:p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(piśmiennictwo)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Strategies for teaching strings: building a successful string and orchestra program / Donald L. Hamann, Robert Gillespie. Hamann, Donald L. Wyd. 2 popr. New York : Oxford University Press, 2009.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Intonacja w grze skrzypcowej : szkic metodyczny / Konstanty Mostras, z jęz. ros. przeł. Czesław Przystaś. - Kraków : PWM, 1958.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Intonacja w muzyce ze szczególnym uwzględnieniem gry skrzypcowej / Janina Fyk. -Warszawa : Akademia Muzyczna im. F. Chopina, 1989.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Nowa uporządkowana technika aplikatury : na skrzypce / Jan Twardowski. - Kraków : "Beseder", 1995.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Janusz Wyląg - Studia orkiestrowe na skrzypce; PWM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Uwaga: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MODYFIKACJE SYLABUSA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QqR+AQB+3aOh6mkItRpSbU+ZJSw==">CgMxLjA4AHIhMVRxUFVOVk1HdzBqVFNKUnpvUXlFQWhWR1ZPV0JONjY1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LibreOffice/24.2.5.2$MacOSX_X86_64 LibreOffice_project/bffef4ea93e59bebbeaf7f431bb02b1a39ee8a59</Application>
  <AppVersion>15.0000</AppVersion>
  <Pages>3</Pages>
  <Words>589</Words>
  <Characters>3936</Characters>
  <CharactersWithSpaces>4461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dcterms:modified xsi:type="dcterms:W3CDTF">2025-01-16T00:25:10Z</dcterms:modified>
  <cp:revision>1</cp:revision>
  <dc:subject/>
  <dc:title/>
</cp:coreProperties>
</file>