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theme/theme1.xml" ContentType="application/vnd.openxmlformats-officedocument.theme+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eastAsia="Arial" w:cs="Arial"/>
          <w:b/>
          <w:sz w:val="32"/>
          <w:szCs w:val="32"/>
        </w:rPr>
      </w:pPr>
      <w:r>
        <w:rPr>
          <w:rFonts w:eastAsia="Arial" w:cs="Arial" w:ascii="Arial" w:hAnsi="Arial"/>
          <w:b/>
          <w:sz w:val="32"/>
          <w:szCs w:val="32"/>
        </w:rPr>
        <w:t>Akademia Muzyczna im. Karola Lipińskiego we Wrocławiu</w:t>
      </w:r>
    </w:p>
    <w:tbl>
      <w:tblPr>
        <w:tblStyle w:val="a0"/>
        <w:tblW w:w="9062" w:type="dxa"/>
        <w:jc w:val="left"/>
        <w:tblInd w:w="0" w:type="dxa"/>
        <w:tblLayout w:type="fixed"/>
        <w:tblCellMar>
          <w:top w:w="0" w:type="dxa"/>
          <w:left w:w="108" w:type="dxa"/>
          <w:bottom w:w="0" w:type="dxa"/>
          <w:right w:w="108" w:type="dxa"/>
        </w:tblCellMar>
        <w:tblLook w:val="0400" w:noVBand="1" w:noHBand="0" w:lastColumn="0" w:firstColumn="0" w:lastRow="0" w:firstRow="0"/>
      </w:tblPr>
      <w:tblGrid>
        <w:gridCol w:w="2279"/>
        <w:gridCol w:w="468"/>
        <w:gridCol w:w="248"/>
        <w:gridCol w:w="968"/>
        <w:gridCol w:w="367"/>
        <w:gridCol w:w="1194"/>
        <w:gridCol w:w="97"/>
        <w:gridCol w:w="382"/>
        <w:gridCol w:w="1362"/>
        <w:gridCol w:w="1697"/>
      </w:tblGrid>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Nazwa przedmiotu: </w:t>
            </w:r>
            <w:r>
              <w:rPr>
                <w:rFonts w:eastAsia="Arial" w:cs="Arial" w:ascii="Arial" w:hAnsi="Arial"/>
                <w:sz w:val="20"/>
                <w:szCs w:val="20"/>
              </w:rPr>
              <w:t>Improwizacja</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Jednostka prowadząca przedmiot: </w:t>
            </w:r>
            <w:r>
              <w:rPr>
                <w:rFonts w:eastAsia="Arial" w:cs="Arial" w:ascii="Arial" w:hAnsi="Arial"/>
                <w:sz w:val="20"/>
                <w:szCs w:val="20"/>
              </w:rPr>
              <w:t>Wydział Instrumentalny, Katedra Instrumentów Smyczkowych</w:t>
            </w:r>
          </w:p>
        </w:tc>
      </w:tr>
      <w:tr>
        <w:trPr/>
        <w:tc>
          <w:tcPr>
            <w:tcW w:w="4330"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Kierunek: </w:t>
            </w:r>
            <w:r>
              <w:rPr>
                <w:rFonts w:eastAsia="Arial" w:cs="Arial" w:ascii="Arial" w:hAnsi="Arial"/>
                <w:sz w:val="20"/>
                <w:szCs w:val="20"/>
              </w:rPr>
              <w:t>Instrumentalistyka</w:t>
            </w:r>
          </w:p>
        </w:tc>
        <w:tc>
          <w:tcPr>
            <w:tcW w:w="4732"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Zakres: </w:t>
            </w:r>
            <w:r>
              <w:rPr>
                <w:rFonts w:eastAsia="Arial" w:cs="Arial" w:ascii="Arial" w:hAnsi="Arial"/>
                <w:sz w:val="20"/>
                <w:szCs w:val="20"/>
              </w:rPr>
              <w:t>Gitara – profil solistyczny i kameralny</w:t>
            </w:r>
          </w:p>
        </w:tc>
      </w:tr>
      <w:tr>
        <w:trPr/>
        <w:tc>
          <w:tcPr>
            <w:tcW w:w="4330"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Forma i poziom studiów:</w:t>
            </w:r>
            <w:r>
              <w:rPr>
                <w:rFonts w:eastAsia="Arial" w:cs="Arial" w:ascii="Arial" w:hAnsi="Arial"/>
                <w:sz w:val="20"/>
                <w:szCs w:val="20"/>
              </w:rPr>
              <w:t xml:space="preserve"> 2-letnie studia stacjonarne/niestacjonarne II stopnia</w:t>
            </w:r>
          </w:p>
        </w:tc>
        <w:tc>
          <w:tcPr>
            <w:tcW w:w="4732"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Profil kształcenia: </w:t>
            </w:r>
            <w:r>
              <w:rPr>
                <w:rFonts w:eastAsia="Arial" w:cs="Arial" w:ascii="Arial" w:hAnsi="Arial"/>
                <w:sz w:val="20"/>
                <w:szCs w:val="20"/>
              </w:rPr>
              <w:t>ogólnoakademicki</w:t>
            </w:r>
          </w:p>
        </w:tc>
      </w:tr>
      <w:tr>
        <w:trPr/>
        <w:tc>
          <w:tcPr>
            <w:tcW w:w="2747" w:type="dxa"/>
            <w:gridSpan w:val="2"/>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Forma zajęć: </w:t>
            </w:r>
            <w:r>
              <w:rPr>
                <w:rFonts w:eastAsia="Arial" w:cs="Arial" w:ascii="Arial" w:hAnsi="Arial"/>
                <w:sz w:val="20"/>
                <w:szCs w:val="20"/>
              </w:rPr>
              <w:t>ćwiczenia</w:t>
            </w:r>
          </w:p>
        </w:tc>
        <w:tc>
          <w:tcPr>
            <w:tcW w:w="2874" w:type="dxa"/>
            <w:gridSpan w:val="5"/>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Rodzaj zajęć: </w:t>
            </w:r>
            <w:r>
              <w:rPr>
                <w:rFonts w:eastAsia="Arial" w:cs="Arial" w:ascii="Arial" w:hAnsi="Arial"/>
                <w:sz w:val="20"/>
                <w:szCs w:val="20"/>
              </w:rPr>
              <w:t>grupowe</w:t>
            </w:r>
          </w:p>
        </w:tc>
        <w:tc>
          <w:tcPr>
            <w:tcW w:w="3441" w:type="dxa"/>
            <w:gridSpan w:val="3"/>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Język przedmiotu: </w:t>
            </w:r>
            <w:r>
              <w:rPr>
                <w:rFonts w:eastAsia="Arial" w:cs="Arial" w:ascii="Arial" w:hAnsi="Arial"/>
                <w:sz w:val="20"/>
                <w:szCs w:val="20"/>
              </w:rPr>
              <w:t>Polski, możliwość prowadzenia zajęć         w innych językach: angielskim, niemieckim</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b/>
                <w:sz w:val="20"/>
                <w:szCs w:val="20"/>
              </w:rPr>
            </w:pPr>
            <w:r>
              <w:rPr>
                <w:rFonts w:eastAsia="Arial" w:cs="Arial" w:ascii="Arial" w:hAnsi="Arial"/>
                <w:b/>
                <w:sz w:val="20"/>
                <w:szCs w:val="20"/>
              </w:rPr>
              <w:t xml:space="preserve">Koordynator przedmiotu: </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spacing w:before="120" w:after="120"/>
              <w:rPr>
                <w:rFonts w:ascii="Arial" w:hAnsi="Arial" w:eastAsia="Arial" w:cs="Arial"/>
                <w:sz w:val="20"/>
                <w:szCs w:val="20"/>
              </w:rPr>
            </w:pPr>
            <w:r>
              <w:rPr>
                <w:rFonts w:eastAsia="Arial" w:cs="Arial" w:ascii="Arial" w:hAnsi="Arial"/>
                <w:b/>
                <w:sz w:val="20"/>
                <w:szCs w:val="20"/>
              </w:rPr>
              <w:t xml:space="preserve">Prowadzący przedmiot: </w:t>
            </w:r>
            <w:r>
              <w:rPr>
                <w:rFonts w:eastAsia="Arial" w:cs="Arial" w:ascii="Arial" w:hAnsi="Arial"/>
                <w:b w:val="false"/>
                <w:bCs w:val="false"/>
                <w:sz w:val="20"/>
                <w:szCs w:val="20"/>
              </w:rPr>
              <w:t>mgr Maciej Mazurek</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eastAsia="Arial" w:cs="Arial"/>
                <w:b/>
                <w:sz w:val="20"/>
                <w:szCs w:val="20"/>
              </w:rPr>
            </w:pPr>
            <w:r>
              <w:rPr>
                <w:rFonts w:eastAsia="Arial" w:cs="Arial" w:ascii="Arial" w:hAnsi="Arial"/>
                <w:b/>
                <w:sz w:val="20"/>
                <w:szCs w:val="20"/>
              </w:rPr>
            </w:r>
          </w:p>
          <w:p>
            <w:pPr>
              <w:pStyle w:val="Normal"/>
              <w:jc w:val="center"/>
              <w:rPr>
                <w:rFonts w:ascii="Arial" w:hAnsi="Arial" w:eastAsia="Arial" w:cs="Arial"/>
                <w:b/>
              </w:rPr>
            </w:pPr>
            <w:r>
              <w:rPr>
                <w:rFonts w:eastAsia="Arial" w:cs="Arial" w:ascii="Arial" w:hAnsi="Arial"/>
                <w:b/>
              </w:rPr>
              <w:t>CELE PRZEDMIOTU</w:t>
            </w:r>
          </w:p>
          <w:p>
            <w:pPr>
              <w:pStyle w:val="Normal"/>
              <w:jc w:val="center"/>
              <w:rPr>
                <w:rFonts w:ascii="Arial" w:hAnsi="Arial" w:eastAsia="Arial" w:cs="Arial"/>
                <w:b/>
                <w:sz w:val="20"/>
                <w:szCs w:val="20"/>
              </w:rPr>
            </w:pPr>
            <w:r>
              <w:rPr>
                <w:rFonts w:eastAsia="Arial" w:cs="Arial" w:ascii="Arial" w:hAnsi="Arial"/>
                <w:b/>
                <w:sz w:val="20"/>
                <w:szCs w:val="2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tabs>
                <w:tab w:val="clear" w:pos="720"/>
                <w:tab w:val="left" w:pos="249" w:leader="none"/>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r>
          </w:p>
          <w:p>
            <w:pPr>
              <w:pStyle w:val="Normal"/>
              <w:pBdr/>
              <w:tabs>
                <w:tab w:val="clear" w:pos="720"/>
                <w:tab w:val="left" w:pos="249" w:leader="none"/>
                <w:tab w:val="center" w:pos="4536" w:leader="none"/>
                <w:tab w:val="right" w:pos="9072" w:leader="none"/>
              </w:tabs>
              <w:jc w:val="both"/>
              <w:rPr>
                <w:rFonts w:ascii="Arial" w:hAnsi="Arial" w:eastAsia="Arial" w:cs="Arial"/>
                <w:color w:val="000000"/>
                <w:sz w:val="20"/>
                <w:szCs w:val="20"/>
              </w:rPr>
            </w:pPr>
            <w:r>
              <w:rPr>
                <w:rFonts w:eastAsia="Arial" w:cs="Arial" w:ascii="Arial" w:hAnsi="Arial"/>
                <w:sz w:val="20"/>
                <w:szCs w:val="20"/>
              </w:rPr>
              <w:t xml:space="preserve">● </w:t>
            </w:r>
            <w:r>
              <w:rPr>
                <w:rFonts w:eastAsia="Arial" w:cs="Arial" w:ascii="Arial" w:hAnsi="Arial"/>
                <w:sz w:val="20"/>
                <w:szCs w:val="20"/>
              </w:rPr>
              <w:t xml:space="preserve">Celem zajęć z improwizacji jest przekazanie studentom wiedzy na temat praktyki tworzenia struktur muzycznych różnych epok, stylów na bazie gruntownej znajomości ich cech charakterystycznych oraz uzyskanie swobody poruszania się na gryfie, podporządkowanej tworzeniom ad hoc muzycznych wyobrażeń. </w:t>
            </w:r>
          </w:p>
          <w:p>
            <w:pPr>
              <w:pStyle w:val="Normal"/>
              <w:pBdr/>
              <w:tabs>
                <w:tab w:val="clear" w:pos="720"/>
                <w:tab w:val="left" w:pos="249" w:leader="none"/>
                <w:tab w:val="center" w:pos="4536" w:leader="none"/>
                <w:tab w:val="right" w:pos="9072" w:leader="none"/>
              </w:tabs>
              <w:jc w:val="both"/>
              <w:rPr>
                <w:rFonts w:ascii="Arial" w:hAnsi="Arial" w:eastAsia="Arial" w:cs="Arial"/>
                <w:color w:val="000000"/>
                <w:sz w:val="20"/>
                <w:szCs w:val="20"/>
              </w:rPr>
            </w:pPr>
            <w:r>
              <w:rPr>
                <w:rFonts w:eastAsia="Arial" w:cs="Arial" w:ascii="Arial" w:hAnsi="Arial"/>
                <w:color w:val="000000"/>
                <w:sz w:val="20"/>
                <w:szCs w:val="2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tabs>
                <w:tab w:val="clear" w:pos="720"/>
                <w:tab w:val="left" w:pos="249" w:leader="none"/>
                <w:tab w:val="center" w:pos="4536" w:leader="none"/>
                <w:tab w:val="right" w:pos="9072" w:leader="none"/>
              </w:tabs>
              <w:rPr>
                <w:rFonts w:ascii="Arial" w:hAnsi="Arial" w:eastAsia="Arial" w:cs="Arial"/>
                <w:b/>
              </w:rPr>
            </w:pPr>
            <w:r>
              <w:rPr>
                <w:rFonts w:eastAsia="Arial" w:cs="Arial" w:ascii="Arial" w:hAnsi="Arial"/>
                <w:b/>
              </w:rPr>
            </w:r>
          </w:p>
          <w:p>
            <w:pPr>
              <w:pStyle w:val="Normal"/>
              <w:pBdr/>
              <w:tabs>
                <w:tab w:val="clear" w:pos="720"/>
                <w:tab w:val="left" w:pos="249" w:leader="none"/>
                <w:tab w:val="center" w:pos="4536" w:leader="none"/>
                <w:tab w:val="right" w:pos="9072" w:leader="none"/>
              </w:tabs>
              <w:jc w:val="center"/>
              <w:rPr>
                <w:rFonts w:ascii="Arial" w:hAnsi="Arial" w:eastAsia="Arial" w:cs="Arial"/>
                <w:b/>
              </w:rPr>
            </w:pPr>
            <w:r>
              <w:rPr>
                <w:rFonts w:eastAsia="Arial" w:cs="Arial" w:ascii="Arial" w:hAnsi="Arial"/>
                <w:b/>
              </w:rPr>
              <w:t>WYMAGANIA WSTĘPNE</w:t>
            </w:r>
          </w:p>
          <w:p>
            <w:pPr>
              <w:pStyle w:val="Normal"/>
              <w:pBdr/>
              <w:tabs>
                <w:tab w:val="clear" w:pos="720"/>
                <w:tab w:val="left" w:pos="249" w:leader="none"/>
                <w:tab w:val="center" w:pos="4536" w:leader="none"/>
                <w:tab w:val="right" w:pos="9072" w:leader="none"/>
              </w:tabs>
              <w:rPr>
                <w:rFonts w:ascii="Arial" w:hAnsi="Arial" w:eastAsia="Arial" w:cs="Arial"/>
                <w:b/>
              </w:rPr>
            </w:pPr>
            <w:r>
              <w:rPr>
                <w:rFonts w:eastAsia="Arial" w:cs="Arial" w:ascii="Arial" w:hAnsi="Arial"/>
                <w:b/>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Posiadanie bazowej wiedzy o budowie i rodzajach skal muzycznych, harmonii i umiejętność ich </w:t>
            </w:r>
          </w:p>
          <w:p>
            <w:pPr>
              <w:pStyle w:val="Normal"/>
              <w:jc w:val="both"/>
              <w:rPr>
                <w:rFonts w:ascii="Arial" w:hAnsi="Arial" w:eastAsia="Arial" w:cs="Arial"/>
                <w:color w:val="000000"/>
                <w:sz w:val="20"/>
                <w:szCs w:val="20"/>
              </w:rPr>
            </w:pPr>
            <w:r>
              <w:rPr>
                <w:rFonts w:eastAsia="Arial" w:cs="Arial" w:ascii="Arial" w:hAnsi="Arial"/>
                <w:sz w:val="20"/>
                <w:szCs w:val="20"/>
              </w:rPr>
              <w:t xml:space="preserve">   </w:t>
            </w:r>
            <w:r>
              <w:rPr>
                <w:rFonts w:eastAsia="Arial" w:cs="Arial" w:ascii="Arial" w:hAnsi="Arial"/>
                <w:sz w:val="20"/>
                <w:szCs w:val="20"/>
              </w:rPr>
              <w:t xml:space="preserve">realizacji w stopniu podstawowym, a także wiedzy o głównych stylach muzycznych. </w:t>
            </w:r>
          </w:p>
          <w:p>
            <w:pPr>
              <w:pStyle w:val="Normal"/>
              <w:jc w:val="both"/>
              <w:rPr>
                <w:rFonts w:ascii="Arial" w:hAnsi="Arial" w:eastAsia="Arial" w:cs="Arial"/>
              </w:rPr>
            </w:pPr>
            <w:r>
              <w:rPr>
                <w:rFonts w:eastAsia="Arial" w:cs="Arial" w:ascii="Arial" w:hAnsi="Arial"/>
              </w:rPr>
            </w:r>
          </w:p>
        </w:tc>
      </w:tr>
      <w:tr>
        <w:trPr>
          <w:trHeight w:val="195" w:hRule="atLeast"/>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eastAsia="Arial" w:cs="Arial"/>
                <w:b/>
              </w:rPr>
            </w:pPr>
            <w:r>
              <w:rPr>
                <w:rFonts w:eastAsia="Arial" w:cs="Arial" w:ascii="Arial" w:hAnsi="Arial"/>
                <w:b/>
              </w:rPr>
            </w:r>
          </w:p>
          <w:p>
            <w:pPr>
              <w:pStyle w:val="Normal"/>
              <w:jc w:val="center"/>
              <w:rPr>
                <w:rFonts w:ascii="Arial" w:hAnsi="Arial" w:eastAsia="Arial" w:cs="Arial"/>
                <w:b/>
              </w:rPr>
            </w:pPr>
            <w:r>
              <w:rPr>
                <w:rFonts w:eastAsia="Arial" w:cs="Arial" w:ascii="Arial" w:hAnsi="Arial"/>
                <w:b/>
              </w:rPr>
              <w:t>TREŚCI PROGRAMOWE</w:t>
            </w:r>
          </w:p>
          <w:p>
            <w:pPr>
              <w:pStyle w:val="Normal"/>
              <w:jc w:val="center"/>
              <w:rPr>
                <w:rFonts w:ascii="Arial" w:hAnsi="Arial" w:eastAsia="Arial" w:cs="Arial"/>
                <w:b/>
                <w:color w:val="000000"/>
              </w:rPr>
            </w:pPr>
            <w:r>
              <w:rPr>
                <w:rFonts w:eastAsia="Arial" w:cs="Arial" w:ascii="Arial" w:hAnsi="Arial"/>
                <w:b/>
                <w:color w:val="00000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rPr>
                <w:rFonts w:ascii="Arial" w:hAnsi="Arial" w:eastAsia="Arial" w:cs="Arial"/>
              </w:rPr>
            </w:pPr>
            <w:r>
              <w:rPr>
                <w:rFonts w:eastAsia="Arial" w:cs="Arial" w:ascii="Arial" w:hAnsi="Arial"/>
              </w:rPr>
            </w:r>
          </w:p>
          <w:p>
            <w:pPr>
              <w:pStyle w:val="Normal"/>
              <w:rPr>
                <w:rFonts w:ascii="Arial" w:hAnsi="Arial" w:eastAsia="Arial" w:cs="Arial"/>
                <w:color w:val="000000"/>
                <w:sz w:val="20"/>
                <w:szCs w:val="20"/>
              </w:rPr>
            </w:pPr>
            <w:r>
              <w:rPr>
                <w:rFonts w:eastAsia="Arial" w:cs="Arial" w:ascii="Arial" w:hAnsi="Arial"/>
                <w:sz w:val="20"/>
                <w:szCs w:val="20"/>
              </w:rPr>
              <w:t xml:space="preserve">● </w:t>
            </w:r>
            <w:r>
              <w:rPr>
                <w:rFonts w:eastAsia="Arial" w:cs="Arial" w:ascii="Arial" w:hAnsi="Arial"/>
                <w:sz w:val="20"/>
                <w:szCs w:val="20"/>
              </w:rPr>
              <w:t>Usystematyzowanie wiedzy i umiejętności grania skal muzycznych, interwałów, pochodów harmonicznych (modulacje) na gitarze. Harmonizowanie melodii. Transponowanie przebiegów jednogłosowych i struktur harmonicznych. Zebranie cech wykonawczych charakterystycznych dla poszczególnych (wybranych) stylów i epok wraz z próbami ich użycia.</w:t>
            </w:r>
          </w:p>
          <w:p>
            <w:pPr>
              <w:pStyle w:val="Normal"/>
              <w:rPr>
                <w:rFonts w:ascii="Arial" w:hAnsi="Arial" w:eastAsia="Arial" w:cs="Arial"/>
                <w:color w:val="000000"/>
              </w:rPr>
            </w:pPr>
            <w:r>
              <w:rPr>
                <w:rFonts w:eastAsia="Arial" w:cs="Arial" w:ascii="Arial" w:hAnsi="Arial"/>
                <w:color w:val="00000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eastAsia="Arial" w:cs="Arial"/>
                <w:b/>
              </w:rPr>
            </w:pPr>
            <w:r>
              <w:rPr>
                <w:rFonts w:eastAsia="Arial" w:cs="Arial" w:ascii="Arial" w:hAnsi="Arial"/>
                <w:b/>
              </w:rPr>
            </w:r>
          </w:p>
          <w:p>
            <w:pPr>
              <w:pStyle w:val="Normal"/>
              <w:jc w:val="center"/>
              <w:rPr>
                <w:rFonts w:ascii="Arial" w:hAnsi="Arial" w:eastAsia="Arial" w:cs="Arial"/>
                <w:b/>
              </w:rPr>
            </w:pPr>
            <w:r>
              <w:rPr>
                <w:rFonts w:eastAsia="Arial" w:cs="Arial" w:ascii="Arial" w:hAnsi="Arial"/>
                <w:b/>
              </w:rPr>
              <w:t>EFEKTY UCZENIA SIĘ</w:t>
            </w:r>
          </w:p>
          <w:p>
            <w:pPr>
              <w:pStyle w:val="Normal"/>
              <w:jc w:val="center"/>
              <w:rPr>
                <w:rFonts w:ascii="Arial" w:hAnsi="Arial" w:eastAsia="Arial" w:cs="Arial"/>
                <w:b/>
              </w:rPr>
            </w:pPr>
            <w:r>
              <w:rPr>
                <w:rFonts w:eastAsia="Arial" w:cs="Arial" w:ascii="Arial" w:hAnsi="Arial"/>
                <w:b/>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rPr>
                <w:rFonts w:ascii="Arial" w:hAnsi="Arial" w:eastAsia="Arial" w:cs="Arial"/>
                <w:b/>
              </w:rPr>
            </w:pPr>
            <w:r>
              <w:rPr>
                <w:rFonts w:eastAsia="Arial" w:cs="Arial" w:ascii="Arial" w:hAnsi="Arial"/>
                <w:b/>
              </w:rPr>
            </w:r>
          </w:p>
          <w:p>
            <w:pPr>
              <w:pStyle w:val="Normal"/>
              <w:rPr>
                <w:rFonts w:ascii="Arial" w:hAnsi="Arial" w:eastAsia="Arial" w:cs="Arial"/>
                <w:b/>
              </w:rPr>
            </w:pPr>
            <w:r>
              <w:rPr>
                <w:rFonts w:eastAsia="Arial" w:cs="Arial" w:ascii="Arial" w:hAnsi="Arial"/>
                <w:b/>
              </w:rPr>
              <w:t>Wiedza: absolwent zna i rozumie</w:t>
            </w:r>
          </w:p>
          <w:p>
            <w:pPr>
              <w:pStyle w:val="Normal"/>
              <w:rPr>
                <w:rFonts w:ascii="Arial" w:hAnsi="Arial" w:eastAsia="Arial" w:cs="Arial"/>
                <w:b/>
              </w:rPr>
            </w:pPr>
            <w:r>
              <w:rPr>
                <w:rFonts w:eastAsia="Arial" w:cs="Arial" w:ascii="Arial" w:hAnsi="Arial"/>
                <w:b/>
              </w:rPr>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K_W07 - posiada głębokie zrozumienie wzajemnych relacji pomiędzy teoretycznymi i praktycznymi elementami studiów oraz zdolność do integrowania nabytej wiedzy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K_W09 -poprzez indywidualną pracę poszerza wiedzę dotyczącą improwizacji; jeżeli improwizacja jest związana ze specjalnością i zawarta w programie kształcenia, absolwent powinien dysponować szeroką wiedzą umożliwiającą swobodną improwizację w różnych kontekstach (A+B+E)</w:t>
            </w:r>
          </w:p>
          <w:p>
            <w:pPr>
              <w:pStyle w:val="Normal"/>
              <w:rPr>
                <w:rFonts w:ascii="Arial" w:hAnsi="Arial" w:eastAsia="Arial" w:cs="Arial"/>
                <w:b/>
              </w:rPr>
            </w:pPr>
            <w:r>
              <w:rPr>
                <w:rFonts w:eastAsia="Arial" w:cs="Arial" w:ascii="Arial" w:hAnsi="Arial"/>
                <w:b/>
              </w:rPr>
            </w:r>
          </w:p>
          <w:p>
            <w:pPr>
              <w:pStyle w:val="Normal"/>
              <w:rPr>
                <w:rFonts w:ascii="Arial" w:hAnsi="Arial" w:eastAsia="Arial" w:cs="Arial"/>
                <w:b/>
              </w:rPr>
            </w:pPr>
            <w:r>
              <w:rPr>
                <w:rFonts w:eastAsia="Arial" w:cs="Arial" w:ascii="Arial" w:hAnsi="Arial"/>
                <w:b/>
              </w:rPr>
              <w:t>Umiejętności: absolwent potrafi</w:t>
            </w:r>
          </w:p>
          <w:p>
            <w:pPr>
              <w:pStyle w:val="Normal"/>
              <w:rPr>
                <w:rFonts w:ascii="Arial" w:hAnsi="Arial" w:eastAsia="Arial" w:cs="Arial"/>
              </w:rPr>
            </w:pPr>
            <w:r>
              <w:rPr>
                <w:rFonts w:eastAsia="Arial" w:cs="Arial" w:ascii="Arial" w:hAnsi="Arial"/>
              </w:rPr>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K_U01 - posiada wysoko rozwiniętą osobowość artystyczną umożliwiającą tworzenie, realizowanie i wyrażanie własnych koncepcji artystycznych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K_U03 - podczas realizacji własnych koncepcji artystycznych wykazuje się umiejętnością świadomego zastosowania wiedzy dotyczącej elementów dzieła muzycznego i obowiązujących wzorców formalnych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K_U06 - jest zdolny do funkcjonowania w różnych formacjach zespołowych i posiada umiejętność współdziałania z innymi artystami w różnego typu zespołach oraz w ramach innych wspólnych prac i projektów, także o charakterze multidyscyplinarnym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K_U10 - posiada umiejętność dogłębnego rozumienia i kontrolowania struktur rytmicznych i metrorytmicznych oraz aspektów dotyczących aplikatury, smyczkowania, pedalizacji, frazowania, struktury harmonicznej itp. opracowywanych utworów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K_U14 - posiada umiejętność swobodnego kształtowania muzyki w sposób umożliwiający odejście od zapisanego tekstu nutowego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K_U15 - posiada umiejętność improwizowania na bazie wykonywanego utworu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K_U16 - posiada umiejętność transponowania przebiegów melodyczno-harmonicznych - jeżeli improwizacja związana jest ze specjalnością, absolwenci powinni osiągnąć wysoki poziom biegłości w sztuce improwizacji </w:t>
            </w:r>
          </w:p>
          <w:p>
            <w:pPr>
              <w:pStyle w:val="Normal"/>
              <w:rPr>
                <w:rFonts w:ascii="Arial" w:hAnsi="Arial" w:eastAsia="Arial" w:cs="Arial"/>
              </w:rPr>
            </w:pPr>
            <w:r>
              <w:rPr>
                <w:rFonts w:eastAsia="Arial" w:cs="Arial" w:ascii="Arial" w:hAnsi="Arial"/>
              </w:rPr>
            </w:r>
          </w:p>
          <w:p>
            <w:pPr>
              <w:pStyle w:val="Normal"/>
              <w:rPr>
                <w:rFonts w:ascii="Arial" w:hAnsi="Arial" w:eastAsia="Arial" w:cs="Arial"/>
                <w:b/>
              </w:rPr>
            </w:pPr>
            <w:r>
              <w:rPr>
                <w:rFonts w:eastAsia="Arial" w:cs="Arial" w:ascii="Arial" w:hAnsi="Arial"/>
                <w:b/>
              </w:rPr>
              <w:t>Kompetencje społeczne: absolwent jest gotów do</w:t>
            </w:r>
          </w:p>
          <w:p>
            <w:pPr>
              <w:pStyle w:val="Normal"/>
              <w:rPr>
                <w:rFonts w:ascii="Arial" w:hAnsi="Arial" w:eastAsia="Arial" w:cs="Arial"/>
                <w:sz w:val="20"/>
                <w:szCs w:val="20"/>
              </w:rPr>
            </w:pPr>
            <w:r>
              <w:rPr>
                <w:rFonts w:eastAsia="Arial" w:cs="Arial" w:ascii="Arial" w:hAnsi="Arial"/>
                <w:sz w:val="20"/>
                <w:szCs w:val="20"/>
              </w:rPr>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K_K01 - jest w pełni kompetentnym i samodzielnym artystą, zdolnym do świadomego integrowania zdobytej wiedzy w obrębie specjalności oraz w ramach innych szeroko pojętych działań kulturotwórczych </w:t>
            </w:r>
          </w:p>
          <w:p>
            <w:pPr>
              <w:pStyle w:val="Normal"/>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K_K04 - posiada umiejętność krytycznej oceny własnych działań twórczych i artystycznych oraz umie poddać takiej ocenie inne przedsięwzięcia z zakresu kultury, sztuki i innych dziedzin działalności artystycznej</w:t>
            </w:r>
          </w:p>
          <w:p>
            <w:pPr>
              <w:pStyle w:val="Normal"/>
              <w:rPr>
                <w:rFonts w:ascii="Arial" w:hAnsi="Arial" w:eastAsia="Arial" w:cs="Arial"/>
                <w:sz w:val="20"/>
                <w:szCs w:val="20"/>
              </w:rPr>
            </w:pPr>
            <w:r>
              <w:rPr>
                <w:rFonts w:eastAsia="Arial" w:cs="Arial" w:ascii="Arial" w:hAnsi="Arial"/>
                <w:sz w:val="20"/>
                <w:szCs w:val="20"/>
              </w:rPr>
            </w:r>
          </w:p>
          <w:p>
            <w:pPr>
              <w:pStyle w:val="Normal"/>
              <w:rPr>
                <w:rFonts w:ascii="Arial" w:hAnsi="Arial" w:eastAsia="Arial" w:cs="Arial"/>
                <w:sz w:val="20"/>
                <w:szCs w:val="20"/>
              </w:rPr>
            </w:pPr>
            <w:r>
              <w:rPr>
                <w:rFonts w:eastAsia="Arial" w:cs="Arial" w:ascii="Arial" w:hAnsi="Arial"/>
                <w:sz w:val="20"/>
                <w:szCs w:val="2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jc w:val="center"/>
              <w:rPr>
                <w:rFonts w:ascii="Arial" w:hAnsi="Arial" w:eastAsia="Arial" w:cs="Arial"/>
                <w:b/>
              </w:rPr>
            </w:pPr>
            <w:r>
              <w:rPr>
                <w:rFonts w:eastAsia="Arial" w:cs="Arial" w:ascii="Arial" w:hAnsi="Arial"/>
                <w:b/>
              </w:rPr>
              <w:t>NAKŁAD PRACY STUDENTA</w:t>
            </w:r>
          </w:p>
        </w:tc>
      </w:tr>
      <w:tr>
        <w:trPr/>
        <w:tc>
          <w:tcPr>
            <w:tcW w:w="2279"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Rok</w:t>
            </w:r>
          </w:p>
        </w:tc>
        <w:tc>
          <w:tcPr>
            <w:tcW w:w="3245" w:type="dxa"/>
            <w:gridSpan w:val="5"/>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I</w:t>
            </w:r>
          </w:p>
        </w:tc>
        <w:tc>
          <w:tcPr>
            <w:tcW w:w="3538" w:type="dxa"/>
            <w:gridSpan w:val="4"/>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II</w:t>
            </w:r>
          </w:p>
        </w:tc>
      </w:tr>
      <w:tr>
        <w:trPr/>
        <w:tc>
          <w:tcPr>
            <w:tcW w:w="2279"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Semestr</w:t>
            </w:r>
          </w:p>
        </w:tc>
        <w:tc>
          <w:tcPr>
            <w:tcW w:w="1684"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1</w:t>
            </w:r>
          </w:p>
        </w:tc>
        <w:tc>
          <w:tcPr>
            <w:tcW w:w="1561"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2</w:t>
            </w:r>
          </w:p>
        </w:tc>
        <w:tc>
          <w:tcPr>
            <w:tcW w:w="1841"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3</w:t>
            </w:r>
          </w:p>
        </w:tc>
        <w:tc>
          <w:tcPr>
            <w:tcW w:w="169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4</w:t>
            </w:r>
          </w:p>
        </w:tc>
      </w:tr>
      <w:tr>
        <w:trPr/>
        <w:tc>
          <w:tcPr>
            <w:tcW w:w="2279"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Punkty ECTS</w:t>
            </w:r>
          </w:p>
        </w:tc>
        <w:tc>
          <w:tcPr>
            <w:tcW w:w="1684"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561"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841"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2</w:t>
            </w:r>
          </w:p>
        </w:tc>
        <w:tc>
          <w:tcPr>
            <w:tcW w:w="169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2</w:t>
            </w:r>
          </w:p>
        </w:tc>
      </w:tr>
      <w:tr>
        <w:trPr/>
        <w:tc>
          <w:tcPr>
            <w:tcW w:w="2279"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 xml:space="preserve">Liczba godzin </w:t>
            </w:r>
          </w:p>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w tygodniu</w:t>
            </w:r>
          </w:p>
        </w:tc>
        <w:tc>
          <w:tcPr>
            <w:tcW w:w="1684"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561"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841"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1</w:t>
            </w:r>
          </w:p>
        </w:tc>
        <w:tc>
          <w:tcPr>
            <w:tcW w:w="169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1</w:t>
            </w:r>
          </w:p>
        </w:tc>
      </w:tr>
      <w:tr>
        <w:trPr/>
        <w:tc>
          <w:tcPr>
            <w:tcW w:w="2279"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rPr>
                <w:rFonts w:ascii="Arial" w:hAnsi="Arial" w:eastAsia="Arial" w:cs="Arial"/>
                <w:b/>
                <w:sz w:val="20"/>
                <w:szCs w:val="20"/>
              </w:rPr>
            </w:pPr>
            <w:r>
              <w:rPr>
                <w:rFonts w:eastAsia="Arial" w:cs="Arial" w:ascii="Arial" w:hAnsi="Arial"/>
                <w:b/>
                <w:sz w:val="20"/>
                <w:szCs w:val="20"/>
              </w:rPr>
              <w:t>Rodzaj zaliczenia</w:t>
            </w:r>
          </w:p>
        </w:tc>
        <w:tc>
          <w:tcPr>
            <w:tcW w:w="1684"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561" w:type="dxa"/>
            <w:gridSpan w:val="2"/>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b/>
                <w:sz w:val="20"/>
                <w:szCs w:val="20"/>
              </w:rPr>
            </w:pPr>
            <w:r>
              <w:rPr>
                <w:rFonts w:eastAsia="Arial" w:cs="Arial" w:ascii="Arial" w:hAnsi="Arial"/>
                <w:b/>
                <w:sz w:val="20"/>
                <w:szCs w:val="20"/>
              </w:rPr>
            </w:r>
          </w:p>
        </w:tc>
        <w:tc>
          <w:tcPr>
            <w:tcW w:w="1841" w:type="dxa"/>
            <w:gridSpan w:val="3"/>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zal</w:t>
            </w:r>
          </w:p>
        </w:tc>
        <w:tc>
          <w:tcPr>
            <w:tcW w:w="169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5491" w:leader="none"/>
              </w:tabs>
              <w:jc w:val="center"/>
              <w:rPr>
                <w:rFonts w:ascii="Arial" w:hAnsi="Arial" w:eastAsia="Arial" w:cs="Arial"/>
                <w:sz w:val="20"/>
                <w:szCs w:val="20"/>
              </w:rPr>
            </w:pPr>
            <w:r>
              <w:rPr>
                <w:rFonts w:eastAsia="Arial" w:cs="Arial" w:ascii="Arial" w:hAnsi="Arial"/>
                <w:sz w:val="20"/>
                <w:szCs w:val="20"/>
              </w:rPr>
              <w:t>egz</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rPr>
                <w:rFonts w:ascii="Arial" w:hAnsi="Arial" w:eastAsia="Arial" w:cs="Arial"/>
                <w:b/>
              </w:rPr>
            </w:pPr>
            <w:r>
              <w:rPr>
                <w:rFonts w:eastAsia="Arial" w:cs="Arial" w:ascii="Arial" w:hAnsi="Arial"/>
                <w:b/>
              </w:rPr>
            </w:r>
          </w:p>
          <w:p>
            <w:pPr>
              <w:pStyle w:val="Normal"/>
              <w:jc w:val="center"/>
              <w:rPr>
                <w:rFonts w:ascii="Arial" w:hAnsi="Arial" w:eastAsia="Arial" w:cs="Arial"/>
                <w:b/>
              </w:rPr>
            </w:pPr>
            <w:r>
              <w:rPr>
                <w:rFonts w:eastAsia="Arial" w:cs="Arial" w:ascii="Arial" w:hAnsi="Arial"/>
                <w:b/>
              </w:rPr>
              <w:t>WYMAGANIA KOŃCOWE</w:t>
            </w:r>
          </w:p>
          <w:p>
            <w:pPr>
              <w:pStyle w:val="Normal"/>
              <w:pBdr/>
              <w:shd w:val="clear" w:color="auto" w:fill="FFFFFF"/>
              <w:ind w:right="240"/>
              <w:jc w:val="center"/>
              <w:rPr>
                <w:rFonts w:ascii="Arial" w:hAnsi="Arial" w:eastAsia="Arial" w:cs="Arial"/>
                <w:b/>
                <w:color w:val="000000"/>
              </w:rPr>
            </w:pPr>
            <w:r>
              <w:rPr>
                <w:rFonts w:eastAsia="Arial" w:cs="Arial" w:ascii="Arial" w:hAnsi="Arial"/>
                <w:b/>
                <w:color w:val="00000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tabs>
                <w:tab w:val="clear" w:pos="720"/>
                <w:tab w:val="center" w:pos="4536" w:leader="none"/>
                <w:tab w:val="right" w:pos="9072" w:leader="none"/>
              </w:tabs>
              <w:jc w:val="both"/>
              <w:rPr>
                <w:rFonts w:ascii="Arial" w:hAnsi="Arial" w:eastAsia="Arial" w:cs="Arial"/>
                <w:color w:val="000000"/>
              </w:rPr>
            </w:pPr>
            <w:r>
              <w:rPr>
                <w:rFonts w:eastAsia="Arial" w:cs="Arial" w:ascii="Arial" w:hAnsi="Arial"/>
                <w:color w:val="000000"/>
              </w:rPr>
            </w:r>
          </w:p>
          <w:p>
            <w:pPr>
              <w:pStyle w:val="Normal"/>
              <w:pBdr/>
              <w:tabs>
                <w:tab w:val="clear" w:pos="720"/>
                <w:tab w:val="center" w:pos="4536" w:leader="none"/>
                <w:tab w:val="right" w:pos="9072" w:leader="none"/>
              </w:tabs>
              <w:jc w:val="both"/>
              <w:rPr>
                <w:rFonts w:ascii="Arial" w:hAnsi="Arial" w:eastAsia="Arial" w:cs="Arial"/>
                <w:color w:val="000000"/>
                <w:sz w:val="20"/>
                <w:szCs w:val="20"/>
              </w:rPr>
            </w:pPr>
            <w:r>
              <w:rPr>
                <w:rFonts w:eastAsia="Arial" w:cs="Arial" w:ascii="Arial" w:hAnsi="Arial"/>
                <w:sz w:val="20"/>
                <w:szCs w:val="20"/>
              </w:rPr>
              <w:t xml:space="preserve">● </w:t>
            </w:r>
            <w:r>
              <w:rPr>
                <w:rFonts w:eastAsia="Arial" w:cs="Arial" w:ascii="Arial" w:hAnsi="Arial"/>
                <w:sz w:val="20"/>
                <w:szCs w:val="20"/>
              </w:rPr>
              <w:t xml:space="preserve">Po pierwszym semestrze – zaliczenie, po drugim – egzamin komisyjny. Warunkiem uzyskania zaliczenia jest uczęszczanie na zajęcia i subiektywna ocena przygotowania do zajęć przez prowadzącego. Warunkiem dopuszczenia do egzaminu jest uzyskanie zaliczenia. Warunkiem zdania egzaminu jest uzyskanie co najmniej 11 pkt. w skali 25-pkt. </w:t>
            </w:r>
          </w:p>
          <w:p>
            <w:pPr>
              <w:pStyle w:val="Normal"/>
              <w:pBdr/>
              <w:tabs>
                <w:tab w:val="clear" w:pos="720"/>
                <w:tab w:val="center" w:pos="4536" w:leader="none"/>
                <w:tab w:val="right" w:pos="9072" w:leader="none"/>
              </w:tabs>
              <w:jc w:val="both"/>
              <w:rPr>
                <w:rFonts w:ascii="Arial" w:hAnsi="Arial" w:eastAsia="Arial" w:cs="Arial"/>
                <w:color w:val="000000"/>
                <w:sz w:val="20"/>
                <w:szCs w:val="20"/>
              </w:rPr>
            </w:pPr>
            <w:r>
              <w:rPr>
                <w:rFonts w:eastAsia="Arial" w:cs="Arial" w:ascii="Arial" w:hAnsi="Arial"/>
                <w:color w:val="000000"/>
                <w:sz w:val="20"/>
                <w:szCs w:val="20"/>
              </w:rPr>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Kryteria oceny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wiedza o repertuarze, kompozytorach, cechach charakterystycznych danej epoki bądź stylu,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instrumentarium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umiejętność praktycznego zastosowania nabytej wiedzy.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Pracę dyplomową na kierunku instrumentalistyka (Studia II st.) tworzą: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1. Praca artystyczna – I i II recital dyplomowy o zróżnicowanym stylistycznie programie trwającym każdorazowo 35-45 min. – występy otwarte dla publiczności.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2. Pisemna praca dyplomowa na temat zgodny z kierunkiem studiów i zaakceptowany przez Kierownika Katedry. Na ocenę pracy składają się opinia promotora i 2 recenzentów - oceniana pod względem: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zgodności treści pracy z tematem określonym w tytule,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układu pracy, struktury podziału treści, kolejności rozdziałów, kompletności tez,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nowatorskiego ujęcie problemu,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doboru i wykorzystania źródeł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formalnej strony pracy (poprawność języka, opanowanie techniki pisania pracy, spis treści, odsyłacze),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t xml:space="preserve">● </w:t>
            </w:r>
            <w:r>
              <w:rPr>
                <w:rFonts w:eastAsia="Arial" w:cs="Arial" w:ascii="Arial" w:hAnsi="Arial"/>
                <w:sz w:val="20"/>
                <w:szCs w:val="20"/>
              </w:rPr>
              <w:t xml:space="preserve">przydatności pracy do ewentualnej publikacji </w:t>
            </w:r>
          </w:p>
          <w:p>
            <w:pPr>
              <w:pStyle w:val="Normal"/>
              <w:pBdr/>
              <w:tabs>
                <w:tab w:val="clear" w:pos="720"/>
                <w:tab w:val="center" w:pos="4536" w:leader="none"/>
                <w:tab w:val="right" w:pos="9072" w:leader="none"/>
              </w:tabs>
              <w:jc w:val="both"/>
              <w:rPr>
                <w:rFonts w:ascii="Arial" w:hAnsi="Arial" w:eastAsia="Arial" w:cs="Arial"/>
                <w:sz w:val="20"/>
                <w:szCs w:val="20"/>
              </w:rPr>
            </w:pPr>
            <w:r>
              <w:rPr>
                <w:rFonts w:eastAsia="Arial" w:cs="Arial" w:ascii="Arial" w:hAnsi="Arial"/>
                <w:sz w:val="20"/>
                <w:szCs w:val="2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both"/>
              <w:rPr>
                <w:rFonts w:ascii="Arial" w:hAnsi="Arial" w:eastAsia="Arial" w:cs="Arial"/>
                <w:color w:val="000000"/>
              </w:rPr>
            </w:pPr>
            <w:r>
              <w:rPr>
                <w:rFonts w:eastAsia="Arial" w:cs="Arial" w:ascii="Arial" w:hAnsi="Arial"/>
                <w:color w:val="000000"/>
              </w:rPr>
            </w:r>
          </w:p>
          <w:p>
            <w:pPr>
              <w:pStyle w:val="Normal"/>
              <w:pBdr/>
              <w:shd w:val="clear" w:color="auto" w:fill="FFFFFF"/>
              <w:ind w:right="240"/>
              <w:jc w:val="center"/>
              <w:rPr>
                <w:rFonts w:ascii="Arial" w:hAnsi="Arial" w:eastAsia="Arial" w:cs="Arial"/>
                <w:b/>
                <w:color w:val="000000"/>
              </w:rPr>
            </w:pPr>
            <w:r>
              <w:rPr>
                <w:rFonts w:eastAsia="Arial" w:cs="Arial" w:ascii="Arial" w:hAnsi="Arial"/>
                <w:b/>
                <w:color w:val="000000"/>
              </w:rPr>
              <w:t>LITERATURA</w:t>
            </w:r>
          </w:p>
          <w:p>
            <w:pPr>
              <w:pStyle w:val="Normal"/>
              <w:pBdr/>
              <w:shd w:val="clear" w:color="auto" w:fill="FFFFFF"/>
              <w:ind w:right="240"/>
              <w:jc w:val="both"/>
              <w:rPr>
                <w:rFonts w:ascii="Arial" w:hAnsi="Arial" w:eastAsia="Arial" w:cs="Arial"/>
                <w:color w:val="000000"/>
              </w:rPr>
            </w:pPr>
            <w:r>
              <w:rPr>
                <w:rFonts w:eastAsia="Arial" w:cs="Arial" w:ascii="Arial" w:hAnsi="Arial"/>
                <w:color w:val="00000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rPr>
                <w:rFonts w:ascii="Arial" w:hAnsi="Arial" w:eastAsia="Arial" w:cs="Arial"/>
                <w:color w:val="000000"/>
                <w:sz w:val="20"/>
                <w:szCs w:val="20"/>
              </w:rPr>
            </w:pPr>
            <w:r>
              <w:rPr>
                <w:rFonts w:eastAsia="Arial" w:cs="Arial" w:ascii="Arial" w:hAnsi="Arial"/>
                <w:color w:val="000000"/>
                <w:sz w:val="20"/>
                <w:szCs w:val="20"/>
              </w:rPr>
            </w:r>
          </w:p>
          <w:p>
            <w:pPr>
              <w:pStyle w:val="Normal"/>
              <w:rPr>
                <w:rFonts w:ascii="Arial" w:hAnsi="Arial" w:eastAsia="Arial" w:cs="Arial"/>
                <w:b/>
                <w:sz w:val="20"/>
                <w:szCs w:val="20"/>
              </w:rPr>
            </w:pPr>
            <w:r>
              <w:rPr>
                <w:rFonts w:eastAsia="Arial" w:cs="Arial" w:ascii="Arial" w:hAnsi="Arial"/>
                <w:b/>
                <w:sz w:val="20"/>
                <w:szCs w:val="20"/>
              </w:rPr>
              <w:t xml:space="preserve">Literatura (piśmiennictwo) </w:t>
            </w:r>
          </w:p>
          <w:p>
            <w:pPr>
              <w:pStyle w:val="Normal"/>
              <w:rPr>
                <w:rFonts w:ascii="Arial" w:hAnsi="Arial" w:eastAsia="Arial" w:cs="Arial"/>
                <w:sz w:val="20"/>
                <w:szCs w:val="20"/>
              </w:rPr>
            </w:pPr>
            <w:r>
              <w:rPr>
                <w:rFonts w:eastAsia="Arial" w:cs="Arial" w:ascii="Arial" w:hAnsi="Arial"/>
                <w:sz w:val="20"/>
                <w:szCs w:val="20"/>
              </w:rPr>
              <w:t xml:space="preserve">1. Sylwester Laskowski – Improwizacja melodyczna </w:t>
            </w:r>
          </w:p>
          <w:p>
            <w:pPr>
              <w:pStyle w:val="Normal"/>
              <w:rPr>
                <w:rFonts w:ascii="Arial" w:hAnsi="Arial" w:eastAsia="Arial" w:cs="Arial"/>
                <w:sz w:val="20"/>
                <w:szCs w:val="20"/>
              </w:rPr>
            </w:pPr>
            <w:r>
              <w:rPr>
                <w:rFonts w:eastAsia="Arial" w:cs="Arial" w:ascii="Arial" w:hAnsi="Arial"/>
                <w:sz w:val="20"/>
                <w:szCs w:val="20"/>
              </w:rPr>
              <w:t xml:space="preserve">2. Sylwester Laskowski – Improwizacja harmoniczna </w:t>
            </w:r>
          </w:p>
          <w:p>
            <w:pPr>
              <w:pStyle w:val="Normal"/>
              <w:rPr>
                <w:rFonts w:ascii="Arial" w:hAnsi="Arial" w:eastAsia="Arial" w:cs="Arial"/>
                <w:sz w:val="20"/>
                <w:szCs w:val="20"/>
              </w:rPr>
            </w:pPr>
            <w:r>
              <w:rPr>
                <w:rFonts w:eastAsia="Arial" w:cs="Arial" w:ascii="Arial" w:hAnsi="Arial"/>
                <w:sz w:val="20"/>
                <w:szCs w:val="20"/>
              </w:rPr>
              <w:t xml:space="preserve">3. Sylwester Laskowski – Improwizacja rytmiczna </w:t>
            </w:r>
          </w:p>
          <w:p>
            <w:pPr>
              <w:pStyle w:val="Normal"/>
              <w:rPr>
                <w:rFonts w:ascii="Arial" w:hAnsi="Arial" w:eastAsia="Arial" w:cs="Arial"/>
                <w:sz w:val="20"/>
                <w:szCs w:val="20"/>
                <w:lang w:val="en-US"/>
              </w:rPr>
            </w:pPr>
            <w:r>
              <w:rPr>
                <w:rFonts w:eastAsia="Arial" w:cs="Arial" w:ascii="Arial" w:hAnsi="Arial"/>
                <w:sz w:val="20"/>
                <w:szCs w:val="20"/>
                <w:lang w:val="en-US"/>
              </w:rPr>
              <w:t xml:space="preserve">4. Dusan Bogdanovic – Counterpoint for guitar </w:t>
            </w:r>
          </w:p>
          <w:p>
            <w:pPr>
              <w:pStyle w:val="Normal"/>
              <w:rPr>
                <w:rFonts w:ascii="Arial" w:hAnsi="Arial" w:eastAsia="Arial" w:cs="Arial"/>
                <w:sz w:val="20"/>
                <w:szCs w:val="20"/>
                <w:lang w:val="en-US"/>
              </w:rPr>
            </w:pPr>
            <w:r>
              <w:rPr>
                <w:rFonts w:eastAsia="Arial" w:cs="Arial" w:ascii="Arial" w:hAnsi="Arial"/>
                <w:sz w:val="20"/>
                <w:szCs w:val="20"/>
                <w:lang w:val="en-US"/>
              </w:rPr>
              <w:t xml:space="preserve">5. Jesper Christensen – Die Grundlagen des Generalbassspiels im 18.Jahrhundert </w:t>
            </w:r>
          </w:p>
          <w:p>
            <w:pPr>
              <w:pStyle w:val="Normal"/>
              <w:rPr>
                <w:rFonts w:ascii="Arial" w:hAnsi="Arial" w:eastAsia="Arial" w:cs="Arial"/>
                <w:sz w:val="20"/>
                <w:szCs w:val="20"/>
              </w:rPr>
            </w:pPr>
            <w:r>
              <w:rPr>
                <w:rFonts w:eastAsia="Arial" w:cs="Arial" w:ascii="Arial" w:hAnsi="Arial"/>
                <w:sz w:val="20"/>
                <w:szCs w:val="20"/>
              </w:rPr>
              <w:t xml:space="preserve">6. Jacek Meira – Kontrabas jazzowy&amp;gitara basowa </w:t>
            </w:r>
          </w:p>
          <w:p>
            <w:pPr>
              <w:pStyle w:val="Normal"/>
              <w:rPr>
                <w:rFonts w:ascii="Arial" w:hAnsi="Arial" w:eastAsia="Arial" w:cs="Arial"/>
                <w:sz w:val="20"/>
                <w:szCs w:val="20"/>
              </w:rPr>
            </w:pPr>
            <w:r>
              <w:rPr>
                <w:rFonts w:eastAsia="Arial" w:cs="Arial" w:ascii="Arial" w:hAnsi="Arial"/>
                <w:sz w:val="20"/>
                <w:szCs w:val="20"/>
              </w:rPr>
            </w:r>
          </w:p>
          <w:p>
            <w:pPr>
              <w:pStyle w:val="Normal"/>
              <w:rPr>
                <w:rFonts w:ascii="Arial" w:hAnsi="Arial" w:eastAsia="Arial" w:cs="Arial"/>
                <w:sz w:val="20"/>
                <w:szCs w:val="20"/>
              </w:rPr>
            </w:pPr>
            <w:r>
              <w:rPr>
                <w:rFonts w:eastAsia="Arial" w:cs="Arial" w:ascii="Arial" w:hAnsi="Arial"/>
                <w:sz w:val="20"/>
                <w:szCs w:val="20"/>
              </w:rPr>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t>Uwaga:</w:t>
            </w:r>
          </w:p>
          <w:p>
            <w:pPr>
              <w:pStyle w:val="Normal"/>
              <w:pBdr/>
              <w:shd w:val="clear" w:color="auto" w:fill="FFFFFF"/>
              <w:ind w:right="240"/>
              <w:jc w:val="center"/>
              <w:rPr>
                <w:rFonts w:ascii="Arial" w:hAnsi="Arial" w:eastAsia="Arial" w:cs="Arial"/>
                <w:color w:val="000000"/>
                <w:sz w:val="20"/>
                <w:szCs w:val="20"/>
              </w:rPr>
            </w:pPr>
            <w:r>
              <w:rPr>
                <w:rFonts w:eastAsia="Arial" w:cs="Arial" w:ascii="Arial" w:hAnsi="Arial"/>
                <w:b/>
                <w:color w:val="000000"/>
                <w:sz w:val="20"/>
                <w:szCs w:val="20"/>
              </w:rPr>
              <w:t>Prowadzący przedmiot może dokonywać zmian w sylabusie, nie naruszając jednak ogólnych założeń programu.</w:t>
            </w:r>
          </w:p>
        </w:tc>
      </w:tr>
      <w:tr>
        <w:trPr/>
        <w:tc>
          <w:tcPr>
            <w:tcW w:w="9062" w:type="dxa"/>
            <w:gridSpan w:val="10"/>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r>
          </w:p>
          <w:p>
            <w:pPr>
              <w:pStyle w:val="Normal"/>
              <w:pBdr/>
              <w:shd w:val="clear" w:color="auto" w:fill="FFFFFF"/>
              <w:ind w:right="240"/>
              <w:jc w:val="center"/>
              <w:rPr>
                <w:rFonts w:ascii="Arial" w:hAnsi="Arial" w:eastAsia="Arial" w:cs="Arial"/>
                <w:b/>
                <w:color w:val="000000"/>
              </w:rPr>
            </w:pPr>
            <w:r>
              <w:rPr>
                <w:rFonts w:eastAsia="Arial" w:cs="Arial" w:ascii="Arial" w:hAnsi="Arial"/>
                <w:b/>
                <w:color w:val="000000"/>
              </w:rPr>
              <w:t>MODYFIKACJE SYLABUSA</w:t>
            </w:r>
          </w:p>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r>
          </w:p>
        </w:tc>
      </w:tr>
      <w:tr>
        <w:trPr/>
        <w:tc>
          <w:tcPr>
            <w:tcW w:w="2995"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t>Data</w:t>
            </w:r>
          </w:p>
        </w:tc>
        <w:tc>
          <w:tcPr>
            <w:tcW w:w="3008" w:type="dxa"/>
            <w:gridSpan w:val="5"/>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t>Imię i nazwisko</w:t>
            </w:r>
          </w:p>
        </w:tc>
        <w:tc>
          <w:tcPr>
            <w:tcW w:w="3059" w:type="dxa"/>
            <w:gridSpan w:val="2"/>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b/>
                <w:color w:val="000000"/>
                <w:sz w:val="20"/>
                <w:szCs w:val="20"/>
              </w:rPr>
            </w:pPr>
            <w:r>
              <w:rPr>
                <w:rFonts w:eastAsia="Arial" w:cs="Arial" w:ascii="Arial" w:hAnsi="Arial"/>
                <w:b/>
                <w:color w:val="000000"/>
                <w:sz w:val="20"/>
                <w:szCs w:val="20"/>
              </w:rPr>
              <w:t>Czego dotyczy modyfikacja</w:t>
            </w:r>
          </w:p>
        </w:tc>
      </w:tr>
      <w:tr>
        <w:trPr/>
        <w:tc>
          <w:tcPr>
            <w:tcW w:w="2995" w:type="dxa"/>
            <w:gridSpan w:val="3"/>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color w:val="000000"/>
                <w:sz w:val="20"/>
                <w:szCs w:val="20"/>
              </w:rPr>
            </w:pPr>
            <w:r>
              <w:rPr>
                <w:rFonts w:eastAsia="Arial" w:cs="Arial" w:ascii="Arial" w:hAnsi="Arial"/>
                <w:sz w:val="20"/>
                <w:szCs w:val="20"/>
              </w:rPr>
              <w:t>28.04.2024 r.</w:t>
            </w:r>
          </w:p>
        </w:tc>
        <w:tc>
          <w:tcPr>
            <w:tcW w:w="3008" w:type="dxa"/>
            <w:gridSpan w:val="5"/>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color w:val="000000"/>
                <w:sz w:val="20"/>
                <w:szCs w:val="20"/>
              </w:rPr>
            </w:pPr>
            <w:r>
              <w:rPr>
                <w:rFonts w:eastAsia="Arial" w:cs="Arial" w:ascii="Arial" w:hAnsi="Arial"/>
                <w:sz w:val="20"/>
                <w:szCs w:val="20"/>
              </w:rPr>
              <w:t>Adam Jezierzański</w:t>
            </w:r>
          </w:p>
        </w:tc>
        <w:tc>
          <w:tcPr>
            <w:tcW w:w="3059" w:type="dxa"/>
            <w:gridSpan w:val="2"/>
            <w:tcBorders>
              <w:top w:val="single" w:sz="4" w:space="0" w:color="000000"/>
              <w:left w:val="single" w:sz="4" w:space="0" w:color="000000"/>
              <w:bottom w:val="single" w:sz="4" w:space="0" w:color="000000"/>
              <w:right w:val="single" w:sz="4" w:space="0" w:color="000000"/>
            </w:tcBorders>
          </w:tcPr>
          <w:p>
            <w:pPr>
              <w:pStyle w:val="Normal"/>
              <w:pBdr/>
              <w:shd w:val="clear" w:color="auto" w:fill="FFFFFF"/>
              <w:ind w:right="240"/>
              <w:jc w:val="center"/>
              <w:rPr>
                <w:rFonts w:ascii="Arial" w:hAnsi="Arial" w:eastAsia="Arial" w:cs="Arial"/>
                <w:color w:val="000000"/>
                <w:sz w:val="20"/>
                <w:szCs w:val="20"/>
              </w:rPr>
            </w:pPr>
            <w:r>
              <w:rPr>
                <w:rFonts w:eastAsia="Arial" w:cs="Arial" w:ascii="Arial" w:hAnsi="Arial"/>
                <w:sz w:val="20"/>
                <w:szCs w:val="20"/>
              </w:rPr>
              <w:t>Forma graficzna</w:t>
            </w:r>
          </w:p>
        </w:tc>
      </w:tr>
    </w:tbl>
    <w:p>
      <w:pPr>
        <w:pStyle w:val="Normal"/>
        <w:rPr>
          <w:rFonts w:ascii="Arial" w:hAnsi="Arial" w:eastAsia="Arial" w:cs="Arial"/>
          <w:sz w:val="20"/>
          <w:szCs w:val="20"/>
        </w:rPr>
      </w:pPr>
      <w:r>
        <w:rPr>
          <w:rFonts w:eastAsia="Arial" w:cs="Arial" w:ascii="Arial" w:hAnsi="Arial"/>
          <w:sz w:val="20"/>
          <w:szCs w:val="20"/>
        </w:rPr>
      </w:r>
    </w:p>
    <w:p>
      <w:pPr>
        <w:pStyle w:val="Normal"/>
        <w:rPr>
          <w:sz w:val="16"/>
          <w:szCs w:val="16"/>
        </w:rPr>
      </w:pPr>
      <w:r>
        <w:rPr>
          <w:sz w:val="16"/>
          <w:szCs w:val="16"/>
        </w:rPr>
      </w:r>
    </w:p>
    <w:p>
      <w:pPr>
        <w:pStyle w:val="Normal"/>
        <w:rPr/>
      </w:pPr>
      <w:r>
        <w:rPr/>
      </w:r>
    </w:p>
    <w:sectPr>
      <w:type w:val="nextPage"/>
      <w:pgSz w:w="11906" w:h="16838"/>
      <w:pgMar w:left="1417" w:right="1417" w:gutter="0" w:header="0" w:top="1417" w:footer="0" w:bottom="1417"/>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swiss"/>
    <w:pitch w:val="variable"/>
  </w:font>
  <w:font w:name="Georgia">
    <w:charset w:val="01"/>
    <w:family w:val="roman"/>
    <w:pitch w:val="variable"/>
  </w:font>
  <w:font w:name="Arial">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Cambria"/>
        <w:sz w:val="24"/>
        <w:szCs w:val="24"/>
        <w:lang w:val="pl-PL" w:eastAsia="pl-PL"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709e9"/>
    <w:pPr>
      <w:widowControl/>
      <w:bidi w:val="0"/>
      <w:spacing w:before="0" w:after="0"/>
      <w:jc w:val="left"/>
    </w:pPr>
    <w:rPr>
      <w:rFonts w:cs="Times New Roman" w:ascii="Cambria" w:hAnsi="Cambria" w:eastAsia="Cambria"/>
      <w:color w:val="auto"/>
      <w:kern w:val="0"/>
      <w:sz w:val="24"/>
      <w:szCs w:val="24"/>
      <w:lang w:val="pl-PL" w:eastAsia="pl-PL" w:bidi="ar-SA"/>
    </w:rPr>
  </w:style>
  <w:style w:type="paragraph" w:styleId="Heading1">
    <w:name w:val="Heading 1"/>
    <w:basedOn w:val="Normal"/>
    <w:next w:val="Normal"/>
    <w:uiPriority w:val="9"/>
    <w:qFormat/>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pPr>
      <w:keepNext w:val="true"/>
      <w:keepLines/>
      <w:spacing w:before="240" w:after="40"/>
      <w:outlineLvl w:val="3"/>
    </w:pPr>
    <w:rPr>
      <w:b/>
    </w:rPr>
  </w:style>
  <w:style w:type="paragraph" w:styleId="Heading5">
    <w:name w:val="Heading 5"/>
    <w:basedOn w:val="Normal"/>
    <w:next w:val="Normal"/>
    <w:uiPriority w:val="9"/>
    <w:semiHidden/>
    <w:unhideWhenUsed/>
    <w:qFormat/>
    <w:pPr>
      <w:keepNext w:val="true"/>
      <w:keepLines/>
      <w:spacing w:before="220" w:after="40"/>
      <w:outlineLvl w:val="4"/>
    </w:pPr>
    <w:rPr>
      <w:b/>
      <w:sz w:val="22"/>
      <w:szCs w:val="22"/>
    </w:rPr>
  </w:style>
  <w:style w:type="paragraph" w:styleId="Heading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Nagwek">
    <w:name w:val="Nagłówek"/>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ks">
    <w:name w:val="Indeks"/>
    <w:basedOn w:val="Normal"/>
    <w:qFormat/>
    <w:pPr>
      <w:suppressLineNumbers/>
    </w:pPr>
    <w:rPr>
      <w:rFonts w:cs="Arial Unicode MS"/>
    </w:rPr>
  </w:style>
  <w:style w:type="paragraph" w:styleId="Title">
    <w:name w:val="Title"/>
    <w:basedOn w:val="Normal"/>
    <w:next w:val="Normal"/>
    <w:uiPriority w:val="10"/>
    <w:qFormat/>
    <w:pPr>
      <w:keepNext w:val="true"/>
      <w:keepLines/>
      <w:spacing w:before="480" w:after="120"/>
    </w:pPr>
    <w:rPr>
      <w:b/>
      <w:sz w:val="72"/>
      <w:szCs w:val="72"/>
    </w:rPr>
  </w:style>
  <w:style w:type="paragraph" w:styleId="Subtitle">
    <w:name w:val="Subtitle"/>
    <w:basedOn w:val="Normal"/>
    <w:next w:val="Normal"/>
    <w:uiPriority w:val="11"/>
    <w:qFormat/>
    <w:pPr>
      <w:keepNext w:val="true"/>
      <w:keepLines/>
      <w:pBdr/>
      <w:spacing w:before="360" w:after="80"/>
    </w:pPr>
    <w:rPr>
      <w:rFonts w:ascii="Georgia" w:hAnsi="Georgia" w:eastAsia="Georgia" w:cs="Georgia"/>
      <w:i/>
      <w:color w:val="666666"/>
      <w:sz w:val="48"/>
      <w:szCs w:val="48"/>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styleId="Tabela-Siatka">
    <w:name w:val="Table Grid"/>
    <w:basedOn w:val="Standardowy"/>
    <w:uiPriority w:val="39"/>
    <w:rsid w:val="008709e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5QNa2MCDaZLrVB60JD0lryRQ4kQ==">CgMxLjA4AHIhMTQxZHdYbkhVbzFqMXNIMWRtMEZIaXdTSGMzcEt3bVl4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Application>LibreOffice/24.2.5.2$MacOSX_X86_64 LibreOffice_project/bffef4ea93e59bebbeaf7f431bb02b1a39ee8a59</Application>
  <AppVersion>15.0000</AppVersion>
  <Pages>3</Pages>
  <Words>702</Words>
  <Characters>4921</Characters>
  <CharactersWithSpaces>5598</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2024-12-13T00:17:00Z</dcterms:created>
  <dc:creator>Helena Tomaszek-Plewa</dc:creator>
  <dc:description/>
  <dc:language>pl-PL</dc:language>
  <cp:lastModifiedBy/>
  <dcterms:modified xsi:type="dcterms:W3CDTF">2025-01-16T23:28:49Z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