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_rels/document.xml.rels" ContentType="application/vnd.openxmlformats-package.relationships+xml"/>
  <Override PartName="/word/theme/theme1.xml" ContentType="application/vnd.openxmlformats-officedocument.theme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customXml/_rels/item1.xml.rels" ContentType="application/vnd.openxmlformats-package.relationships+xml"/>
  <Override PartName="/customXml/item1.xml" ContentType="application/xml"/>
  <Override PartName="/customXml/itemProps1.xml" ContentType="application/vnd.openxmlformats-officedocument.customXmlPropertie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p>
      <w:pPr>
        <w:pStyle w:val="Normal"/>
        <w:jc w:val="center"/>
        <w:rPr>
          <w:rFonts w:ascii="Arial" w:hAnsi="Arial" w:eastAsia="Arial" w:cs="Arial"/>
          <w:b/>
          <w:sz w:val="32"/>
          <w:szCs w:val="32"/>
        </w:rPr>
      </w:pPr>
      <w:r>
        <w:rPr>
          <w:rFonts w:eastAsia="Arial" w:cs="Arial" w:ascii="Arial" w:hAnsi="Arial"/>
          <w:b/>
          <w:sz w:val="32"/>
          <w:szCs w:val="32"/>
        </w:rPr>
        <w:t>Akademia Muzyczna im. Karola Lipińskiego we Wrocławiu</w:t>
      </w:r>
    </w:p>
    <w:tbl>
      <w:tblPr>
        <w:tblStyle w:val="Table1"/>
        <w:tblW w:w="9075" w:type="dxa"/>
        <w:jc w:val="left"/>
        <w:tblInd w:w="14" w:type="dxa"/>
        <w:tblLayout w:type="fixed"/>
        <w:tblCellMar>
          <w:top w:w="0" w:type="dxa"/>
          <w:left w:w="108" w:type="dxa"/>
          <w:bottom w:w="0" w:type="dxa"/>
          <w:right w:w="108" w:type="dxa"/>
        </w:tblCellMar>
        <w:tblLook w:val="0400"/>
      </w:tblPr>
      <w:tblGrid>
        <w:gridCol w:w="2265"/>
        <w:gridCol w:w="463"/>
        <w:gridCol w:w="255"/>
        <w:gridCol w:w="977"/>
        <w:gridCol w:w="358"/>
        <w:gridCol w:w="1202"/>
        <w:gridCol w:w="103"/>
        <w:gridCol w:w="391"/>
        <w:gridCol w:w="1364"/>
        <w:gridCol w:w="1697"/>
      </w:tblGrid>
      <w:tr>
        <w:trPr/>
        <w:tc>
          <w:tcPr>
            <w:tcW w:w="9075" w:type="dxa"/>
            <w:gridSpan w:val="10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40" w:before="120" w:after="120"/>
              <w:rPr>
                <w:rFonts w:ascii="Arial" w:hAnsi="Arial" w:eastAsia="Arial" w:cs="Arial"/>
                <w:sz w:val="20"/>
                <w:szCs w:val="20"/>
              </w:rPr>
            </w:pPr>
            <w:r>
              <w:rPr>
                <w:rFonts w:eastAsia="Arial" w:cs="Arial" w:ascii="Arial" w:hAnsi="Arial"/>
                <w:b/>
                <w:sz w:val="20"/>
                <w:szCs w:val="20"/>
              </w:rPr>
              <w:t xml:space="preserve">Nazwa przedmiotu: </w:t>
            </w:r>
            <w:r>
              <w:rPr>
                <w:rFonts w:eastAsia="Arial" w:cs="Arial" w:ascii="Arial" w:hAnsi="Arial"/>
                <w:sz w:val="20"/>
                <w:szCs w:val="20"/>
              </w:rPr>
              <w:t>Instrument główny</w:t>
            </w:r>
          </w:p>
        </w:tc>
      </w:tr>
      <w:tr>
        <w:trPr/>
        <w:tc>
          <w:tcPr>
            <w:tcW w:w="9075" w:type="dxa"/>
            <w:gridSpan w:val="10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40" w:before="120" w:after="120"/>
              <w:rPr>
                <w:rFonts w:ascii="Arial" w:hAnsi="Arial" w:eastAsia="Arial" w:cs="Arial"/>
                <w:sz w:val="20"/>
                <w:szCs w:val="20"/>
              </w:rPr>
            </w:pPr>
            <w:r>
              <w:rPr>
                <w:rFonts w:eastAsia="Arial" w:cs="Arial" w:ascii="Arial" w:hAnsi="Arial"/>
                <w:b/>
                <w:sz w:val="20"/>
                <w:szCs w:val="20"/>
              </w:rPr>
              <w:t>Jednostka prowadząca przedmiot:</w:t>
            </w:r>
            <w:r>
              <w:rPr>
                <w:rFonts w:eastAsia="Arial" w:cs="Arial" w:ascii="Arial" w:hAnsi="Arial"/>
                <w:sz w:val="20"/>
                <w:szCs w:val="20"/>
              </w:rPr>
              <w:t xml:space="preserve"> Wydział Instrumentalny, Katedra Instrumentów Smyczkowych</w:t>
            </w:r>
          </w:p>
        </w:tc>
      </w:tr>
      <w:tr>
        <w:trPr/>
        <w:tc>
          <w:tcPr>
            <w:tcW w:w="4318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40" w:before="120" w:after="120"/>
              <w:rPr>
                <w:rFonts w:ascii="Arial" w:hAnsi="Arial" w:eastAsia="Arial" w:cs="Arial"/>
                <w:sz w:val="20"/>
                <w:szCs w:val="20"/>
              </w:rPr>
            </w:pPr>
            <w:r>
              <w:rPr>
                <w:rFonts w:eastAsia="Arial" w:cs="Arial" w:ascii="Arial" w:hAnsi="Arial"/>
                <w:b/>
                <w:sz w:val="20"/>
                <w:szCs w:val="20"/>
              </w:rPr>
              <w:t xml:space="preserve">Kierunek: </w:t>
            </w:r>
            <w:r>
              <w:rPr>
                <w:rFonts w:eastAsia="Arial" w:cs="Arial" w:ascii="Arial" w:hAnsi="Arial"/>
                <w:sz w:val="20"/>
                <w:szCs w:val="20"/>
              </w:rPr>
              <w:t>Instrumentalistyka</w:t>
            </w:r>
          </w:p>
        </w:tc>
        <w:tc>
          <w:tcPr>
            <w:tcW w:w="4757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40" w:before="120" w:after="120"/>
              <w:rPr>
                <w:rFonts w:ascii="Arial" w:hAnsi="Arial" w:eastAsia="Arial" w:cs="Arial"/>
                <w:sz w:val="20"/>
                <w:szCs w:val="20"/>
              </w:rPr>
            </w:pPr>
            <w:r>
              <w:rPr>
                <w:rFonts w:eastAsia="Arial" w:cs="Arial" w:ascii="Arial" w:hAnsi="Arial"/>
                <w:b/>
                <w:sz w:val="20"/>
                <w:szCs w:val="20"/>
              </w:rPr>
              <w:t xml:space="preserve">Zakres: </w:t>
            </w:r>
            <w:r>
              <w:rPr>
                <w:rFonts w:eastAsia="Arial" w:cs="Arial" w:ascii="Arial" w:hAnsi="Arial"/>
                <w:sz w:val="20"/>
                <w:szCs w:val="20"/>
              </w:rPr>
              <w:t>Wiolonczela - profil kameralno                   - orkiestrowy</w:t>
            </w:r>
          </w:p>
        </w:tc>
      </w:tr>
      <w:tr>
        <w:trPr/>
        <w:tc>
          <w:tcPr>
            <w:tcW w:w="4318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40" w:before="120" w:after="120"/>
              <w:rPr>
                <w:rFonts w:ascii="Arial" w:hAnsi="Arial" w:eastAsia="Arial" w:cs="Arial"/>
                <w:sz w:val="20"/>
                <w:szCs w:val="20"/>
              </w:rPr>
            </w:pPr>
            <w:r>
              <w:rPr>
                <w:rFonts w:eastAsia="Arial" w:cs="Arial" w:ascii="Arial" w:hAnsi="Arial"/>
                <w:b/>
                <w:sz w:val="20"/>
                <w:szCs w:val="20"/>
              </w:rPr>
              <w:t>Forma i poziom studiów:</w:t>
            </w:r>
            <w:r>
              <w:rPr>
                <w:rFonts w:eastAsia="Arial" w:cs="Arial" w:ascii="Arial" w:hAnsi="Arial"/>
                <w:sz w:val="20"/>
                <w:szCs w:val="20"/>
              </w:rPr>
              <w:t xml:space="preserve"> 2- letnie studia stacjonarne/ niestacjonarne II st.</w:t>
            </w:r>
          </w:p>
        </w:tc>
        <w:tc>
          <w:tcPr>
            <w:tcW w:w="4757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40" w:before="120" w:after="120"/>
              <w:rPr>
                <w:rFonts w:ascii="Arial" w:hAnsi="Arial" w:eastAsia="Arial" w:cs="Arial"/>
                <w:sz w:val="20"/>
                <w:szCs w:val="20"/>
              </w:rPr>
            </w:pPr>
            <w:r>
              <w:rPr>
                <w:rFonts w:eastAsia="Arial" w:cs="Arial" w:ascii="Arial" w:hAnsi="Arial"/>
                <w:b/>
                <w:sz w:val="20"/>
                <w:szCs w:val="20"/>
              </w:rPr>
              <w:t xml:space="preserve">Profil kształcenia: </w:t>
            </w:r>
            <w:r>
              <w:rPr>
                <w:rFonts w:eastAsia="Arial" w:cs="Arial" w:ascii="Arial" w:hAnsi="Arial"/>
                <w:sz w:val="20"/>
                <w:szCs w:val="20"/>
              </w:rPr>
              <w:t>ogólnoakademicki</w:t>
            </w:r>
          </w:p>
        </w:tc>
      </w:tr>
      <w:tr>
        <w:trPr/>
        <w:tc>
          <w:tcPr>
            <w:tcW w:w="272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40" w:before="120" w:after="120"/>
              <w:rPr>
                <w:rFonts w:ascii="Arial" w:hAnsi="Arial" w:eastAsia="Arial" w:cs="Arial"/>
                <w:sz w:val="20"/>
                <w:szCs w:val="20"/>
              </w:rPr>
            </w:pPr>
            <w:r>
              <w:rPr>
                <w:rFonts w:eastAsia="Arial" w:cs="Arial" w:ascii="Arial" w:hAnsi="Arial"/>
                <w:b/>
                <w:sz w:val="20"/>
                <w:szCs w:val="20"/>
              </w:rPr>
              <w:t xml:space="preserve">Forma zajęć: </w:t>
            </w:r>
            <w:r>
              <w:rPr>
                <w:rFonts w:eastAsia="Arial" w:cs="Arial" w:ascii="Arial" w:hAnsi="Arial"/>
                <w:sz w:val="20"/>
                <w:szCs w:val="20"/>
              </w:rPr>
              <w:t>przedmiot główny</w:t>
            </w:r>
          </w:p>
        </w:tc>
        <w:tc>
          <w:tcPr>
            <w:tcW w:w="2895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40" w:before="120" w:after="120"/>
              <w:rPr>
                <w:rFonts w:ascii="Arial" w:hAnsi="Arial" w:eastAsia="Arial" w:cs="Arial"/>
                <w:sz w:val="20"/>
                <w:szCs w:val="20"/>
              </w:rPr>
            </w:pPr>
            <w:r>
              <w:rPr>
                <w:rFonts w:eastAsia="Arial" w:cs="Arial" w:ascii="Arial" w:hAnsi="Arial"/>
                <w:b/>
                <w:sz w:val="20"/>
                <w:szCs w:val="20"/>
              </w:rPr>
              <w:t xml:space="preserve">Rodzaj zajęć: </w:t>
            </w:r>
            <w:r>
              <w:rPr>
                <w:rFonts w:eastAsia="Arial" w:cs="Arial" w:ascii="Arial" w:hAnsi="Arial"/>
                <w:sz w:val="20"/>
                <w:szCs w:val="20"/>
              </w:rPr>
              <w:t>indywidualne</w:t>
            </w:r>
          </w:p>
        </w:tc>
        <w:tc>
          <w:tcPr>
            <w:tcW w:w="345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40" w:before="120" w:after="120"/>
              <w:rPr>
                <w:rFonts w:ascii="Arial" w:hAnsi="Arial" w:eastAsia="Arial" w:cs="Arial"/>
                <w:sz w:val="20"/>
                <w:szCs w:val="20"/>
              </w:rPr>
            </w:pPr>
            <w:r>
              <w:rPr>
                <w:rFonts w:eastAsia="Arial" w:cs="Arial" w:ascii="Arial" w:hAnsi="Arial"/>
                <w:b/>
                <w:sz w:val="20"/>
                <w:szCs w:val="20"/>
              </w:rPr>
              <w:t xml:space="preserve">Język przedmiotu: </w:t>
            </w:r>
            <w:r>
              <w:rPr>
                <w:rFonts w:eastAsia="Arial" w:cs="Arial" w:ascii="Arial" w:hAnsi="Arial"/>
                <w:sz w:val="20"/>
                <w:szCs w:val="20"/>
              </w:rPr>
              <w:t>polski, możliwość prowadzenia zajęć         w innych językach: angielski, niemiecki</w:t>
            </w:r>
          </w:p>
        </w:tc>
      </w:tr>
      <w:tr>
        <w:trPr/>
        <w:tc>
          <w:tcPr>
            <w:tcW w:w="9075" w:type="dxa"/>
            <w:gridSpan w:val="10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40" w:before="120" w:after="120"/>
              <w:rPr>
                <w:rFonts w:ascii="Arial" w:hAnsi="Arial" w:eastAsia="Arial" w:cs="Arial"/>
                <w:b/>
                <w:sz w:val="20"/>
                <w:szCs w:val="20"/>
              </w:rPr>
            </w:pPr>
            <w:r>
              <w:rPr>
                <w:rFonts w:eastAsia="Arial" w:cs="Arial" w:ascii="Arial" w:hAnsi="Arial"/>
                <w:b/>
                <w:sz w:val="20"/>
                <w:szCs w:val="20"/>
              </w:rPr>
              <w:t>Koordynator przedmiotu:</w:t>
            </w:r>
          </w:p>
        </w:tc>
      </w:tr>
      <w:tr>
        <w:trPr/>
        <w:tc>
          <w:tcPr>
            <w:tcW w:w="9075" w:type="dxa"/>
            <w:gridSpan w:val="10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40" w:before="120" w:after="120"/>
              <w:rPr>
                <w:rFonts w:ascii="Arial" w:hAnsi="Arial" w:eastAsia="Arial" w:cs="Arial"/>
                <w:sz w:val="20"/>
                <w:szCs w:val="20"/>
              </w:rPr>
            </w:pPr>
            <w:r>
              <w:rPr>
                <w:rFonts w:eastAsia="Arial" w:cs="Arial" w:ascii="Arial" w:hAnsi="Arial"/>
                <w:b/>
                <w:sz w:val="20"/>
                <w:szCs w:val="20"/>
              </w:rPr>
              <w:t>Prowadzący przedmiot:</w:t>
            </w:r>
            <w:r>
              <w:rPr>
                <w:rFonts w:eastAsia="Arial" w:cs="Arial" w:ascii="Arial" w:hAnsi="Arial"/>
                <w:sz w:val="20"/>
                <w:szCs w:val="20"/>
              </w:rPr>
              <w:t xml:space="preserve"> prof. dr hab. Lidia Grzanka-Urbaniak, prof. dr hab.Urszula Marciniec-Mazur, dr hab. Marcin Misiak, dr Tomasz Daroch, dr Krzysztof Karpeta, </w:t>
            </w:r>
            <w:r>
              <w:rPr>
                <w:rFonts w:eastAsia="Arial" w:cs="Arial" w:ascii="Arial" w:hAnsi="Arial"/>
                <w:sz w:val="20"/>
                <w:szCs w:val="20"/>
              </w:rPr>
              <w:t>mgr Michał Bień</w:t>
            </w:r>
          </w:p>
        </w:tc>
      </w:tr>
      <w:tr>
        <w:trPr/>
        <w:tc>
          <w:tcPr>
            <w:tcW w:w="9075" w:type="dxa"/>
            <w:gridSpan w:val="10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center"/>
              <w:rPr>
                <w:rFonts w:ascii="Arial" w:hAnsi="Arial" w:eastAsia="Arial" w:cs="Arial"/>
                <w:b/>
                <w:sz w:val="20"/>
                <w:szCs w:val="20"/>
              </w:rPr>
            </w:pPr>
            <w:r>
              <w:rPr>
                <w:rFonts w:eastAsia="Arial" w:cs="Arial" w:ascii="Arial" w:hAnsi="Arial"/>
                <w:b/>
                <w:sz w:val="20"/>
                <w:szCs w:val="20"/>
              </w:rPr>
            </w:r>
          </w:p>
          <w:p>
            <w:pPr>
              <w:pStyle w:val="Normal"/>
              <w:jc w:val="center"/>
              <w:rPr>
                <w:rFonts w:ascii="Arial" w:hAnsi="Arial" w:eastAsia="Arial" w:cs="Arial"/>
                <w:b/>
              </w:rPr>
            </w:pPr>
            <w:r>
              <w:rPr>
                <w:rFonts w:eastAsia="Arial" w:cs="Arial" w:ascii="Arial" w:hAnsi="Arial"/>
                <w:b/>
              </w:rPr>
              <w:t>CELE PRZEDMIOTU</w:t>
            </w:r>
          </w:p>
          <w:p>
            <w:pPr>
              <w:pStyle w:val="Normal"/>
              <w:jc w:val="center"/>
              <w:rPr>
                <w:rFonts w:ascii="Arial" w:hAnsi="Arial" w:eastAsia="Arial" w:cs="Arial"/>
                <w:b/>
                <w:sz w:val="20"/>
                <w:szCs w:val="20"/>
              </w:rPr>
            </w:pPr>
            <w:r>
              <w:rPr>
                <w:rFonts w:eastAsia="Arial" w:cs="Arial" w:ascii="Arial" w:hAnsi="Arial"/>
                <w:b/>
                <w:sz w:val="20"/>
                <w:szCs w:val="20"/>
              </w:rPr>
            </w:r>
          </w:p>
        </w:tc>
      </w:tr>
      <w:tr>
        <w:trPr/>
        <w:tc>
          <w:tcPr>
            <w:tcW w:w="9075" w:type="dxa"/>
            <w:gridSpan w:val="10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249" w:leader="none"/>
                <w:tab w:val="center" w:pos="4536" w:leader="none"/>
                <w:tab w:val="right" w:pos="9072" w:leader="none"/>
              </w:tabs>
              <w:jc w:val="both"/>
              <w:rPr>
                <w:rFonts w:ascii="Arial" w:hAnsi="Arial" w:eastAsia="Arial" w:cs="Arial"/>
                <w:sz w:val="20"/>
                <w:szCs w:val="20"/>
              </w:rPr>
            </w:pPr>
            <w:r>
              <w:rPr>
                <w:rFonts w:eastAsia="Arial" w:cs="Arial" w:ascii="Arial" w:hAnsi="Arial"/>
                <w:sz w:val="20"/>
                <w:szCs w:val="20"/>
              </w:rPr>
            </w:r>
          </w:p>
          <w:p>
            <w:pPr>
              <w:pStyle w:val="Normal"/>
              <w:tabs>
                <w:tab w:val="clear" w:pos="720"/>
                <w:tab w:val="left" w:pos="249" w:leader="none"/>
                <w:tab w:val="center" w:pos="4536" w:leader="none"/>
                <w:tab w:val="right" w:pos="9072" w:leader="none"/>
              </w:tabs>
              <w:jc w:val="both"/>
              <w:rPr>
                <w:rFonts w:ascii="Arial" w:hAnsi="Arial" w:eastAsia="Arial" w:cs="Arial"/>
                <w:sz w:val="20"/>
                <w:szCs w:val="20"/>
              </w:rPr>
            </w:pPr>
            <w:r>
              <w:rPr>
                <w:rFonts w:eastAsia="Arial" w:cs="Arial" w:ascii="Arial" w:hAnsi="Arial"/>
                <w:sz w:val="20"/>
                <w:szCs w:val="20"/>
              </w:rPr>
              <w:t>1. Przygotowanie studenta do samodzielnej, kreatywnej pracy w zawodzie muzyka</w:t>
            </w:r>
          </w:p>
          <w:p>
            <w:pPr>
              <w:pStyle w:val="Normal"/>
              <w:tabs>
                <w:tab w:val="clear" w:pos="720"/>
                <w:tab w:val="left" w:pos="249" w:leader="none"/>
                <w:tab w:val="center" w:pos="4536" w:leader="none"/>
                <w:tab w:val="right" w:pos="9072" w:leader="none"/>
              </w:tabs>
              <w:jc w:val="both"/>
              <w:rPr>
                <w:rFonts w:ascii="Arial" w:hAnsi="Arial" w:eastAsia="Arial" w:cs="Arial"/>
                <w:sz w:val="20"/>
                <w:szCs w:val="20"/>
              </w:rPr>
            </w:pPr>
            <w:r>
              <w:rPr>
                <w:rFonts w:eastAsia="Arial" w:cs="Arial" w:ascii="Arial" w:hAnsi="Arial"/>
                <w:sz w:val="20"/>
                <w:szCs w:val="20"/>
              </w:rPr>
              <w:t>2. Osiągnięcie przez studenta wysokiego poziomu posługiwania się warsztatem instrumentalnym.</w:t>
            </w:r>
          </w:p>
          <w:p>
            <w:pPr>
              <w:pStyle w:val="Normal"/>
              <w:tabs>
                <w:tab w:val="clear" w:pos="720"/>
                <w:tab w:val="left" w:pos="249" w:leader="none"/>
                <w:tab w:val="center" w:pos="4536" w:leader="none"/>
                <w:tab w:val="right" w:pos="9072" w:leader="none"/>
              </w:tabs>
              <w:jc w:val="both"/>
              <w:rPr>
                <w:rFonts w:ascii="Arial" w:hAnsi="Arial" w:eastAsia="Arial" w:cs="Arial"/>
                <w:sz w:val="20"/>
                <w:szCs w:val="20"/>
              </w:rPr>
            </w:pPr>
            <w:r>
              <w:rPr>
                <w:rFonts w:eastAsia="Arial" w:cs="Arial" w:ascii="Arial" w:hAnsi="Arial"/>
                <w:sz w:val="20"/>
                <w:szCs w:val="20"/>
              </w:rPr>
              <w:t>3. Pogłębienie i rozwinięcie wiedzy oraz umiejętności studenta związanych ze ściśle określoną</w:t>
            </w:r>
          </w:p>
          <w:p>
            <w:pPr>
              <w:pStyle w:val="Normal"/>
              <w:tabs>
                <w:tab w:val="clear" w:pos="720"/>
                <w:tab w:val="left" w:pos="249" w:leader="none"/>
                <w:tab w:val="center" w:pos="4536" w:leader="none"/>
                <w:tab w:val="right" w:pos="9072" w:leader="none"/>
              </w:tabs>
              <w:jc w:val="both"/>
              <w:rPr>
                <w:rFonts w:ascii="Arial" w:hAnsi="Arial" w:eastAsia="Arial" w:cs="Arial"/>
                <w:sz w:val="20"/>
                <w:szCs w:val="20"/>
              </w:rPr>
            </w:pPr>
            <w:r>
              <w:rPr>
                <w:rFonts w:eastAsia="Arial" w:cs="Arial" w:ascii="Arial" w:hAnsi="Arial"/>
                <w:sz w:val="20"/>
                <w:szCs w:val="20"/>
              </w:rPr>
              <w:t xml:space="preserve">    </w:t>
            </w:r>
            <w:r>
              <w:rPr>
                <w:rFonts w:eastAsia="Arial" w:cs="Arial" w:ascii="Arial" w:hAnsi="Arial"/>
                <w:sz w:val="20"/>
                <w:szCs w:val="20"/>
              </w:rPr>
              <w:t>specjalnością.</w:t>
            </w:r>
          </w:p>
          <w:p>
            <w:pPr>
              <w:pStyle w:val="Normal"/>
              <w:tabs>
                <w:tab w:val="clear" w:pos="720"/>
                <w:tab w:val="left" w:pos="249" w:leader="none"/>
                <w:tab w:val="center" w:pos="4536" w:leader="none"/>
                <w:tab w:val="right" w:pos="9072" w:leader="none"/>
              </w:tabs>
              <w:jc w:val="both"/>
              <w:rPr>
                <w:rFonts w:ascii="Arial" w:hAnsi="Arial" w:eastAsia="Arial" w:cs="Arial"/>
                <w:sz w:val="20"/>
                <w:szCs w:val="20"/>
              </w:rPr>
            </w:pPr>
            <w:r>
              <w:rPr>
                <w:rFonts w:eastAsia="Arial" w:cs="Arial" w:ascii="Arial" w:hAnsi="Arial"/>
                <w:sz w:val="20"/>
                <w:szCs w:val="20"/>
              </w:rPr>
              <w:t>4. Umożliwienie specjalizowania się w dyscyplinach wymagających dalszych studiów</w:t>
            </w:r>
          </w:p>
          <w:p>
            <w:pPr>
              <w:pStyle w:val="Normal"/>
              <w:tabs>
                <w:tab w:val="clear" w:pos="720"/>
                <w:tab w:val="left" w:pos="249" w:leader="none"/>
                <w:tab w:val="center" w:pos="4536" w:leader="none"/>
                <w:tab w:val="right" w:pos="9072" w:leader="none"/>
              </w:tabs>
              <w:jc w:val="both"/>
              <w:rPr>
                <w:rFonts w:ascii="Arial" w:hAnsi="Arial" w:eastAsia="Arial" w:cs="Arial"/>
                <w:sz w:val="20"/>
                <w:szCs w:val="20"/>
              </w:rPr>
            </w:pPr>
            <w:r>
              <w:rPr>
                <w:rFonts w:eastAsia="Arial" w:cs="Arial" w:ascii="Arial" w:hAnsi="Arial"/>
                <w:sz w:val="20"/>
                <w:szCs w:val="20"/>
              </w:rPr>
              <w:t>5. Przygotowanie studenta do podjęcia studiów III stopnia w obrębie studiowanej specjalności</w:t>
            </w:r>
          </w:p>
          <w:p>
            <w:pPr>
              <w:pStyle w:val="Normal"/>
              <w:tabs>
                <w:tab w:val="clear" w:pos="720"/>
                <w:tab w:val="left" w:pos="249" w:leader="none"/>
                <w:tab w:val="center" w:pos="4536" w:leader="none"/>
                <w:tab w:val="right" w:pos="9072" w:leader="none"/>
              </w:tabs>
              <w:jc w:val="both"/>
              <w:rPr>
                <w:rFonts w:ascii="Arial" w:hAnsi="Arial" w:eastAsia="Arial" w:cs="Arial"/>
                <w:sz w:val="20"/>
                <w:szCs w:val="20"/>
              </w:rPr>
            </w:pPr>
            <w:r>
              <w:rPr>
                <w:rFonts w:eastAsia="Arial" w:cs="Arial" w:ascii="Arial" w:hAnsi="Arial"/>
                <w:sz w:val="20"/>
                <w:szCs w:val="20"/>
              </w:rPr>
              <w:t xml:space="preserve">    </w:t>
            </w:r>
            <w:r>
              <w:rPr>
                <w:rFonts w:eastAsia="Arial" w:cs="Arial" w:ascii="Arial" w:hAnsi="Arial"/>
                <w:sz w:val="20"/>
                <w:szCs w:val="20"/>
              </w:rPr>
              <w:t>również o charakterze interdyscyplinarnym</w:t>
            </w:r>
          </w:p>
          <w:p>
            <w:pPr>
              <w:pStyle w:val="Normal"/>
              <w:tabs>
                <w:tab w:val="clear" w:pos="720"/>
                <w:tab w:val="left" w:pos="249" w:leader="none"/>
                <w:tab w:val="center" w:pos="4536" w:leader="none"/>
                <w:tab w:val="right" w:pos="9072" w:leader="none"/>
              </w:tabs>
              <w:jc w:val="both"/>
              <w:rPr>
                <w:rFonts w:ascii="Arial" w:hAnsi="Arial" w:eastAsia="Arial" w:cs="Arial"/>
                <w:color w:val="000000"/>
                <w:sz w:val="20"/>
                <w:szCs w:val="20"/>
              </w:rPr>
            </w:pPr>
            <w:r>
              <w:rPr>
                <w:rFonts w:eastAsia="Arial" w:cs="Arial" w:ascii="Arial" w:hAnsi="Arial"/>
                <w:sz w:val="20"/>
                <w:szCs w:val="20"/>
              </w:rPr>
              <w:t>6. Posiadanie umiejętności tworzenia innowacyjnych rozwiązań - design thinking</w:t>
            </w:r>
          </w:p>
          <w:p>
            <w:pPr>
              <w:pStyle w:val="Normal"/>
              <w:tabs>
                <w:tab w:val="clear" w:pos="720"/>
                <w:tab w:val="left" w:pos="249" w:leader="none"/>
                <w:tab w:val="center" w:pos="4536" w:leader="none"/>
                <w:tab w:val="right" w:pos="9072" w:leader="none"/>
              </w:tabs>
              <w:jc w:val="both"/>
              <w:rPr>
                <w:rFonts w:ascii="Arial" w:hAnsi="Arial" w:eastAsia="Arial" w:cs="Arial"/>
                <w:color w:val="000000"/>
                <w:sz w:val="20"/>
                <w:szCs w:val="20"/>
              </w:rPr>
            </w:pPr>
            <w:r>
              <w:rPr>
                <w:rFonts w:eastAsia="Arial" w:cs="Arial" w:ascii="Arial" w:hAnsi="Arial"/>
                <w:color w:val="000000"/>
                <w:sz w:val="20"/>
                <w:szCs w:val="20"/>
              </w:rPr>
            </w:r>
          </w:p>
        </w:tc>
      </w:tr>
      <w:tr>
        <w:trPr/>
        <w:tc>
          <w:tcPr>
            <w:tcW w:w="9075" w:type="dxa"/>
            <w:gridSpan w:val="10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249" w:leader="none"/>
                <w:tab w:val="center" w:pos="4536" w:leader="none"/>
                <w:tab w:val="right" w:pos="9072" w:leader="none"/>
              </w:tabs>
              <w:rPr>
                <w:rFonts w:ascii="Arial" w:hAnsi="Arial" w:eastAsia="Arial" w:cs="Arial"/>
                <w:b/>
              </w:rPr>
            </w:pPr>
            <w:r>
              <w:rPr>
                <w:rFonts w:eastAsia="Arial" w:cs="Arial" w:ascii="Arial" w:hAnsi="Arial"/>
                <w:b/>
              </w:rPr>
            </w:r>
          </w:p>
          <w:p>
            <w:pPr>
              <w:pStyle w:val="Normal"/>
              <w:tabs>
                <w:tab w:val="clear" w:pos="720"/>
                <w:tab w:val="left" w:pos="249" w:leader="none"/>
                <w:tab w:val="center" w:pos="4536" w:leader="none"/>
                <w:tab w:val="right" w:pos="9072" w:leader="none"/>
              </w:tabs>
              <w:jc w:val="center"/>
              <w:rPr>
                <w:rFonts w:ascii="Arial" w:hAnsi="Arial" w:eastAsia="Arial" w:cs="Arial"/>
                <w:b/>
              </w:rPr>
            </w:pPr>
            <w:r>
              <w:rPr>
                <w:rFonts w:eastAsia="Arial" w:cs="Arial" w:ascii="Arial" w:hAnsi="Arial"/>
                <w:b/>
              </w:rPr>
              <w:t>WYMAGANIA WSTĘPNE</w:t>
            </w:r>
          </w:p>
          <w:p>
            <w:pPr>
              <w:pStyle w:val="Normal"/>
              <w:tabs>
                <w:tab w:val="clear" w:pos="720"/>
                <w:tab w:val="left" w:pos="249" w:leader="none"/>
                <w:tab w:val="center" w:pos="4536" w:leader="none"/>
                <w:tab w:val="right" w:pos="9072" w:leader="none"/>
              </w:tabs>
              <w:rPr>
                <w:rFonts w:ascii="Arial" w:hAnsi="Arial" w:eastAsia="Arial" w:cs="Arial"/>
                <w:b/>
              </w:rPr>
            </w:pPr>
            <w:r>
              <w:rPr>
                <w:rFonts w:eastAsia="Arial" w:cs="Arial" w:ascii="Arial" w:hAnsi="Arial"/>
                <w:b/>
              </w:rPr>
            </w:r>
          </w:p>
        </w:tc>
      </w:tr>
      <w:tr>
        <w:trPr/>
        <w:tc>
          <w:tcPr>
            <w:tcW w:w="9075" w:type="dxa"/>
            <w:gridSpan w:val="10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both"/>
              <w:rPr>
                <w:rFonts w:ascii="Arial" w:hAnsi="Arial" w:eastAsia="Arial" w:cs="Arial"/>
                <w:color w:val="000000"/>
              </w:rPr>
            </w:pPr>
            <w:r>
              <w:rPr>
                <w:rFonts w:eastAsia="Arial" w:cs="Arial" w:ascii="Arial" w:hAnsi="Arial"/>
                <w:color w:val="000000"/>
              </w:rPr>
            </w:r>
          </w:p>
          <w:p>
            <w:pPr>
              <w:pStyle w:val="Normal"/>
              <w:jc w:val="both"/>
              <w:rPr>
                <w:rFonts w:ascii="Arial" w:hAnsi="Arial" w:eastAsia="Arial" w:cs="Arial"/>
                <w:sz w:val="20"/>
                <w:szCs w:val="20"/>
              </w:rPr>
            </w:pPr>
            <w:r>
              <w:rPr>
                <w:rFonts w:eastAsia="Arial" w:cs="Arial" w:ascii="Arial" w:hAnsi="Arial"/>
                <w:sz w:val="20"/>
                <w:szCs w:val="20"/>
              </w:rPr>
              <w:t>Opanowanie kompetencji instrumentalnych na poziomie właściwym dla danego etapu kształcenia</w:t>
            </w:r>
          </w:p>
          <w:p>
            <w:pPr>
              <w:pStyle w:val="Normal"/>
              <w:jc w:val="both"/>
              <w:rPr>
                <w:rFonts w:ascii="Arial" w:hAnsi="Arial" w:eastAsia="Arial" w:cs="Arial"/>
              </w:rPr>
            </w:pPr>
            <w:r>
              <w:rPr>
                <w:rFonts w:eastAsia="Arial" w:cs="Arial" w:ascii="Arial" w:hAnsi="Arial"/>
              </w:rPr>
            </w:r>
          </w:p>
        </w:tc>
      </w:tr>
      <w:tr>
        <w:trPr>
          <w:trHeight w:val="195" w:hRule="atLeast"/>
        </w:trPr>
        <w:tc>
          <w:tcPr>
            <w:tcW w:w="9075" w:type="dxa"/>
            <w:gridSpan w:val="10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center"/>
              <w:rPr>
                <w:rFonts w:ascii="Arial" w:hAnsi="Arial" w:eastAsia="Arial" w:cs="Arial"/>
                <w:b/>
              </w:rPr>
            </w:pPr>
            <w:r>
              <w:rPr>
                <w:rFonts w:eastAsia="Arial" w:cs="Arial" w:ascii="Arial" w:hAnsi="Arial"/>
                <w:b/>
              </w:rPr>
            </w:r>
          </w:p>
          <w:p>
            <w:pPr>
              <w:pStyle w:val="Normal"/>
              <w:jc w:val="center"/>
              <w:rPr>
                <w:rFonts w:ascii="Arial" w:hAnsi="Arial" w:eastAsia="Arial" w:cs="Arial"/>
                <w:b/>
              </w:rPr>
            </w:pPr>
            <w:r>
              <w:rPr>
                <w:rFonts w:eastAsia="Arial" w:cs="Arial" w:ascii="Arial" w:hAnsi="Arial"/>
                <w:b/>
              </w:rPr>
              <w:t>TREŚCI PROGRAMOWE</w:t>
            </w:r>
          </w:p>
          <w:p>
            <w:pPr>
              <w:pStyle w:val="Normal"/>
              <w:jc w:val="center"/>
              <w:rPr>
                <w:rFonts w:ascii="Arial" w:hAnsi="Arial" w:eastAsia="Arial" w:cs="Arial"/>
                <w:b/>
                <w:color w:val="000000"/>
              </w:rPr>
            </w:pPr>
            <w:r>
              <w:rPr>
                <w:rFonts w:eastAsia="Arial" w:cs="Arial" w:ascii="Arial" w:hAnsi="Arial"/>
                <w:b/>
                <w:color w:val="000000"/>
              </w:rPr>
            </w:r>
          </w:p>
        </w:tc>
      </w:tr>
      <w:tr>
        <w:trPr/>
        <w:tc>
          <w:tcPr>
            <w:tcW w:w="9075" w:type="dxa"/>
            <w:gridSpan w:val="10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rPr>
                <w:rFonts w:ascii="Arial" w:hAnsi="Arial" w:eastAsia="Arial" w:cs="Arial"/>
              </w:rPr>
            </w:pPr>
            <w:r>
              <w:rPr>
                <w:rFonts w:eastAsia="Arial" w:cs="Arial" w:ascii="Arial" w:hAnsi="Arial"/>
              </w:rPr>
            </w:r>
          </w:p>
          <w:p>
            <w:pPr>
              <w:pStyle w:val="Normal"/>
              <w:rPr>
                <w:rFonts w:ascii="Arial" w:hAnsi="Arial" w:eastAsia="Arial" w:cs="Arial"/>
                <w:color w:val="000000"/>
                <w:sz w:val="20"/>
                <w:szCs w:val="20"/>
              </w:rPr>
            </w:pPr>
            <w:r>
              <w:rPr>
                <w:rFonts w:eastAsia="Arial" w:cs="Arial" w:ascii="Arial" w:hAnsi="Arial"/>
                <w:sz w:val="20"/>
                <w:szCs w:val="20"/>
              </w:rPr>
              <w:t>Aby poznać reprezentatywny repertuar związany z głównym kierunkiem studiów (specjalnością), studenci zobowiązani są przerobić najważniejsze pozycje repertuarowe, przeznaczone na wiolonczelę. Struktura wymagań programowych na 2-letnich uzupełniających studiach magisterskich powinna być bardzo elastyczna i umożliwić specjalizowanie się w dyscyplinach wymagających dalszych pogłębionych studiów. Studenci wybierający profil kameralno - orkiestrowy w głównej mierze ukierunkowują się na granie orkiestrowe (orkiestra kameralna bądź symfoniczna), rozwijając jednocześnie swój warsztat instrumentalny z wykorzystaniem współczesnych technik instrumentalnych , stale podnosząc swoje kwalifikacje w grze na instrumencie oraz intensywnie rozwijając umiejętności kameralne: ( poprzez zgłębianie tematyki przedmiotów: sonata kameralna, zespół kameralny). W tym celu niezbędna jest realizacja głównych pozycji z kameralnej literatury wiolonczelowej (od L.van Beethovena do współczesności) ,rozwijanie umiejętności pracy w formacjach kameralnych i dużych zespołach orkiestrowych, jak również poznanie utworów wchodzących w zakres egzaminów wstępnych do orkiestr. Utwory zawarte w programie studiów stanowią minimum programowe (tożsame z wymaganiami egzaminów semestralnych).</w:t>
            </w:r>
          </w:p>
          <w:p>
            <w:pPr>
              <w:pStyle w:val="Normal"/>
              <w:rPr>
                <w:rFonts w:ascii="Arial" w:hAnsi="Arial" w:eastAsia="Arial" w:cs="Arial"/>
                <w:color w:val="000000"/>
              </w:rPr>
            </w:pPr>
            <w:r>
              <w:rPr>
                <w:rFonts w:eastAsia="Arial" w:cs="Arial" w:ascii="Arial" w:hAnsi="Arial"/>
                <w:color w:val="000000"/>
              </w:rPr>
            </w:r>
          </w:p>
        </w:tc>
      </w:tr>
      <w:tr>
        <w:trPr/>
        <w:tc>
          <w:tcPr>
            <w:tcW w:w="9075" w:type="dxa"/>
            <w:gridSpan w:val="10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center"/>
              <w:rPr>
                <w:rFonts w:ascii="Arial" w:hAnsi="Arial" w:eastAsia="Arial" w:cs="Arial"/>
                <w:b/>
              </w:rPr>
            </w:pPr>
            <w:r>
              <w:rPr>
                <w:rFonts w:eastAsia="Arial" w:cs="Arial" w:ascii="Arial" w:hAnsi="Arial"/>
                <w:b/>
              </w:rPr>
            </w:r>
          </w:p>
          <w:p>
            <w:pPr>
              <w:pStyle w:val="Normal"/>
              <w:jc w:val="center"/>
              <w:rPr>
                <w:rFonts w:ascii="Arial" w:hAnsi="Arial" w:eastAsia="Arial" w:cs="Arial"/>
                <w:b/>
              </w:rPr>
            </w:pPr>
            <w:r>
              <w:rPr>
                <w:rFonts w:eastAsia="Arial" w:cs="Arial" w:ascii="Arial" w:hAnsi="Arial"/>
                <w:b/>
              </w:rPr>
              <w:t>EFEKTY UCZENIA SIĘ</w:t>
            </w:r>
          </w:p>
          <w:p>
            <w:pPr>
              <w:pStyle w:val="Normal"/>
              <w:jc w:val="center"/>
              <w:rPr>
                <w:rFonts w:ascii="Arial" w:hAnsi="Arial" w:eastAsia="Arial" w:cs="Arial"/>
                <w:b/>
              </w:rPr>
            </w:pPr>
            <w:r>
              <w:rPr>
                <w:rFonts w:eastAsia="Arial" w:cs="Arial" w:ascii="Arial" w:hAnsi="Arial"/>
                <w:b/>
              </w:rPr>
            </w:r>
          </w:p>
        </w:tc>
      </w:tr>
      <w:tr>
        <w:trPr/>
        <w:tc>
          <w:tcPr>
            <w:tcW w:w="9075" w:type="dxa"/>
            <w:gridSpan w:val="10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rPr>
                <w:rFonts w:ascii="Arial" w:hAnsi="Arial" w:eastAsia="Arial" w:cs="Arial"/>
                <w:b/>
              </w:rPr>
            </w:pPr>
            <w:r>
              <w:rPr>
                <w:rFonts w:eastAsia="Arial" w:cs="Arial" w:ascii="Arial" w:hAnsi="Arial"/>
                <w:b/>
              </w:rPr>
            </w:r>
          </w:p>
          <w:p>
            <w:pPr>
              <w:pStyle w:val="Normal"/>
              <w:rPr>
                <w:rFonts w:ascii="Arial" w:hAnsi="Arial" w:eastAsia="Arial" w:cs="Arial"/>
                <w:b/>
              </w:rPr>
            </w:pPr>
            <w:r>
              <w:rPr>
                <w:rFonts w:eastAsia="Arial" w:cs="Arial" w:ascii="Arial" w:hAnsi="Arial"/>
                <w:b/>
              </w:rPr>
              <w:t>Wiedza: absolwent zna i rozumie</w:t>
            </w:r>
          </w:p>
          <w:p>
            <w:pPr>
              <w:pStyle w:val="Normal"/>
              <w:rPr>
                <w:rFonts w:ascii="Arial" w:hAnsi="Arial" w:eastAsia="Arial" w:cs="Arial"/>
              </w:rPr>
            </w:pPr>
            <w:r>
              <w:rPr>
                <w:rFonts w:eastAsia="Arial" w:cs="Arial" w:ascii="Arial" w:hAnsi="Arial"/>
              </w:rPr>
            </w:r>
          </w:p>
          <w:p>
            <w:pPr>
              <w:pStyle w:val="Normal"/>
              <w:rPr>
                <w:rFonts w:ascii="Arial" w:hAnsi="Arial" w:eastAsia="Arial" w:cs="Arial"/>
                <w:sz w:val="20"/>
                <w:szCs w:val="20"/>
              </w:rPr>
            </w:pPr>
            <w:r>
              <w:rPr>
                <w:rFonts w:eastAsia="Arial" w:cs="Arial" w:ascii="Arial" w:hAnsi="Arial"/>
                <w:sz w:val="20"/>
                <w:szCs w:val="20"/>
              </w:rPr>
              <w:t>K_W01 - posiada gruntowną znajomość ogólnego repertuaru i związanych z nim tradycji wykonawczych</w:t>
            </w:r>
          </w:p>
          <w:p>
            <w:pPr>
              <w:pStyle w:val="Normal"/>
              <w:rPr>
                <w:rFonts w:ascii="Arial" w:hAnsi="Arial" w:eastAsia="Arial" w:cs="Arial"/>
                <w:sz w:val="20"/>
                <w:szCs w:val="20"/>
              </w:rPr>
            </w:pPr>
            <w:r>
              <w:rPr>
                <w:rFonts w:eastAsia="Arial" w:cs="Arial" w:ascii="Arial" w:hAnsi="Arial"/>
                <w:sz w:val="20"/>
                <w:szCs w:val="20"/>
              </w:rPr>
              <w:t>K_W02 - posiada szczegółową wiedzę dotyczącą repertuaru wybranej specjalności oraz posiada wiedzę dotyczącą związanego z nią piśmiennictwa</w:t>
            </w:r>
          </w:p>
          <w:p>
            <w:pPr>
              <w:pStyle w:val="Normal"/>
              <w:rPr>
                <w:rFonts w:ascii="Arial" w:hAnsi="Arial" w:eastAsia="Arial" w:cs="Arial"/>
                <w:sz w:val="20"/>
                <w:szCs w:val="20"/>
              </w:rPr>
            </w:pPr>
            <w:r>
              <w:rPr>
                <w:rFonts w:eastAsia="Arial" w:cs="Arial" w:ascii="Arial" w:hAnsi="Arial"/>
                <w:sz w:val="20"/>
                <w:szCs w:val="20"/>
              </w:rPr>
              <w:t>K_W04 - posiada wiedzę dotyczącą warsztatu badań teoretyczno-naukowych (dostęp do źródeł informacji, sposoby analizowania i syntezy danych, prawidłowego ich interpretowania)</w:t>
            </w:r>
          </w:p>
          <w:p>
            <w:pPr>
              <w:pStyle w:val="Normal"/>
              <w:rPr>
                <w:rFonts w:ascii="Arial" w:hAnsi="Arial" w:eastAsia="Arial" w:cs="Arial"/>
                <w:sz w:val="20"/>
                <w:szCs w:val="20"/>
              </w:rPr>
            </w:pPr>
            <w:r>
              <w:rPr>
                <w:rFonts w:eastAsia="Arial" w:cs="Arial" w:ascii="Arial" w:hAnsi="Arial"/>
                <w:sz w:val="20"/>
                <w:szCs w:val="20"/>
              </w:rPr>
              <w:t>K_W05 - posiada wiedzę dotyczącą swobodnego korzystania z różnorodnych mediów (książki, nagrania, materiały nutowe, Internet, nagrania archiwalne itp.) oraz umiejętność samodzielnego poszerzania i rozwijania wiedzy dotyczącej swojej specjalności</w:t>
            </w:r>
          </w:p>
          <w:p>
            <w:pPr>
              <w:pStyle w:val="Normal"/>
              <w:rPr>
                <w:rFonts w:ascii="Arial" w:hAnsi="Arial" w:eastAsia="Arial" w:cs="Arial"/>
                <w:sz w:val="20"/>
                <w:szCs w:val="20"/>
              </w:rPr>
            </w:pPr>
            <w:r>
              <w:rPr>
                <w:rFonts w:eastAsia="Arial" w:cs="Arial" w:ascii="Arial" w:hAnsi="Arial"/>
                <w:sz w:val="20"/>
                <w:szCs w:val="20"/>
              </w:rPr>
              <w:t>K_W06 - posiada poszerzoną wiedzę na temat kontekstu historycznego muzyki i jej związków z innymi dziedzinami współczesnego życia</w:t>
            </w:r>
          </w:p>
          <w:p>
            <w:pPr>
              <w:pStyle w:val="Normal"/>
              <w:rPr>
                <w:rFonts w:ascii="Arial" w:hAnsi="Arial" w:eastAsia="Arial" w:cs="Arial"/>
                <w:sz w:val="20"/>
                <w:szCs w:val="20"/>
              </w:rPr>
            </w:pPr>
            <w:r>
              <w:rPr>
                <w:rFonts w:eastAsia="Arial" w:cs="Arial" w:ascii="Arial" w:hAnsi="Arial"/>
                <w:sz w:val="20"/>
                <w:szCs w:val="20"/>
              </w:rPr>
              <w:t>K_W07 - posiada głębokie zrozumienie wzajemnych relacji pomiędzy teoretycznymi i praktycznymi elementami studiów oraz zdolność do integrowania nabytej wiedzy</w:t>
            </w:r>
          </w:p>
          <w:p>
            <w:pPr>
              <w:pStyle w:val="Normal"/>
              <w:rPr>
                <w:rFonts w:ascii="Arial" w:hAnsi="Arial" w:eastAsia="Arial" w:cs="Arial"/>
                <w:sz w:val="20"/>
                <w:szCs w:val="20"/>
              </w:rPr>
            </w:pPr>
            <w:r>
              <w:rPr>
                <w:rFonts w:eastAsia="Arial" w:cs="Arial" w:ascii="Arial" w:hAnsi="Arial"/>
                <w:sz w:val="20"/>
                <w:szCs w:val="20"/>
              </w:rPr>
              <w:t>K_W08 - posiada gruntowną wiedzę dotyczącą budowy instrumentów i ich ewentualnej konserwacji, napraw, strojenia</w:t>
            </w:r>
          </w:p>
          <w:p>
            <w:pPr>
              <w:pStyle w:val="Normal"/>
              <w:rPr>
                <w:rFonts w:ascii="Arial" w:hAnsi="Arial" w:eastAsia="Arial" w:cs="Arial"/>
                <w:sz w:val="20"/>
                <w:szCs w:val="20"/>
              </w:rPr>
            </w:pPr>
            <w:r>
              <w:rPr>
                <w:rFonts w:eastAsia="Arial" w:cs="Arial" w:ascii="Arial" w:hAnsi="Arial"/>
                <w:sz w:val="20"/>
                <w:szCs w:val="20"/>
              </w:rPr>
              <w:t>K_W09 -poprzez indywidualną pracę poszerza wiedzę dotyczącą improwizacji; jeżeli improwizacja jest związana ze specjalnością i zawarta w programie kształcenia, absolwent powinien dysponować szeroką wiedzą umożliwiającą swobodną improwizację w różnych kontekstach (A+B+E) K_W10 - wykazuje się głębokim zrozumieniem i opanowaniem teorii pedagogiki oraz umiejętnościami jej zastosowania w praktyce, dającymi kwalifikacje do nauczania w zakresie swej specjalności na wszystkich poziomach edukacji muzycznej (A+B+D)</w:t>
            </w:r>
          </w:p>
          <w:p>
            <w:pPr>
              <w:pStyle w:val="Normal"/>
              <w:rPr>
                <w:rFonts w:ascii="Arial" w:hAnsi="Arial" w:eastAsia="Arial" w:cs="Arial"/>
                <w:b/>
              </w:rPr>
            </w:pPr>
            <w:r>
              <w:rPr>
                <w:rFonts w:eastAsia="Arial" w:cs="Arial" w:ascii="Arial" w:hAnsi="Arial"/>
                <w:b/>
              </w:rPr>
            </w:r>
          </w:p>
          <w:p>
            <w:pPr>
              <w:pStyle w:val="Normal"/>
              <w:rPr>
                <w:rFonts w:ascii="Arial" w:hAnsi="Arial" w:eastAsia="Arial" w:cs="Arial"/>
                <w:b/>
              </w:rPr>
            </w:pPr>
            <w:r>
              <w:rPr>
                <w:rFonts w:eastAsia="Arial" w:cs="Arial" w:ascii="Arial" w:hAnsi="Arial"/>
                <w:b/>
              </w:rPr>
              <w:t>Umiejętności: absolwent potrafi</w:t>
            </w:r>
          </w:p>
          <w:p>
            <w:pPr>
              <w:pStyle w:val="Normal"/>
              <w:rPr>
                <w:rFonts w:ascii="Arial" w:hAnsi="Arial" w:eastAsia="Arial" w:cs="Arial"/>
              </w:rPr>
            </w:pPr>
            <w:r>
              <w:rPr>
                <w:rFonts w:eastAsia="Arial" w:cs="Arial" w:ascii="Arial" w:hAnsi="Arial"/>
              </w:rPr>
            </w:r>
          </w:p>
          <w:p>
            <w:pPr>
              <w:pStyle w:val="Normal"/>
              <w:rPr>
                <w:rFonts w:ascii="Arial" w:hAnsi="Arial" w:eastAsia="Arial" w:cs="Arial"/>
                <w:sz w:val="20"/>
                <w:szCs w:val="20"/>
              </w:rPr>
            </w:pPr>
            <w:r>
              <w:rPr>
                <w:rFonts w:eastAsia="Arial" w:cs="Arial" w:ascii="Arial" w:hAnsi="Arial"/>
                <w:sz w:val="20"/>
                <w:szCs w:val="20"/>
              </w:rPr>
              <w:t>K_U01 - posiada wysoko rozwiniętą osobowość artystyczną umożliwiającą tworzenie, realizowanie i wyrażanie własnych koncepcji artystycznych</w:t>
            </w:r>
          </w:p>
          <w:p>
            <w:pPr>
              <w:pStyle w:val="Normal"/>
              <w:rPr>
                <w:rFonts w:ascii="Arial" w:hAnsi="Arial" w:eastAsia="Arial" w:cs="Arial"/>
                <w:sz w:val="20"/>
                <w:szCs w:val="20"/>
              </w:rPr>
            </w:pPr>
            <w:r>
              <w:rPr>
                <w:rFonts w:eastAsia="Arial" w:cs="Arial" w:ascii="Arial" w:hAnsi="Arial"/>
                <w:sz w:val="20"/>
                <w:szCs w:val="20"/>
              </w:rPr>
              <w:t>K_U02 -samodzielnie interpretuje i wykonuje utwory muzyczne w oparciu o własne twórcze motywacje i inspiracje na wysokim poziomie profesjonalizmu, zgodnie z wymaganiami stylistycznymi</w:t>
            </w:r>
          </w:p>
          <w:p>
            <w:pPr>
              <w:pStyle w:val="Normal"/>
              <w:rPr>
                <w:rFonts w:ascii="Arial" w:hAnsi="Arial" w:eastAsia="Arial" w:cs="Arial"/>
                <w:sz w:val="20"/>
                <w:szCs w:val="20"/>
              </w:rPr>
            </w:pPr>
            <w:r>
              <w:rPr>
                <w:rFonts w:eastAsia="Arial" w:cs="Arial" w:ascii="Arial" w:hAnsi="Arial"/>
                <w:sz w:val="20"/>
                <w:szCs w:val="20"/>
              </w:rPr>
              <w:t>K_U03 - podczas realizacji własnych koncepcji artystycznych wykazuje się umiejętnością świadomego zastosowania wiedzy dotyczącej elementów dzieła muzycznego i obowiązujących wzorców formalnych</w:t>
            </w:r>
          </w:p>
          <w:p>
            <w:pPr>
              <w:pStyle w:val="Normal"/>
              <w:rPr>
                <w:rFonts w:ascii="Arial" w:hAnsi="Arial" w:eastAsia="Arial" w:cs="Arial"/>
                <w:sz w:val="20"/>
                <w:szCs w:val="20"/>
              </w:rPr>
            </w:pPr>
            <w:r>
              <w:rPr>
                <w:rFonts w:eastAsia="Arial" w:cs="Arial" w:ascii="Arial" w:hAnsi="Arial"/>
                <w:sz w:val="20"/>
                <w:szCs w:val="20"/>
              </w:rPr>
              <w:t>K_U04 - na bazie doświadczeń związanych z studiami pierwszego stopnia potrafi wykazywać się umiejętnością budowania i pogłębiania obszernego repertuaru w zakresie swojej specjalności, z możliwością specjalizowania się w wybranym obszarze</w:t>
            </w:r>
          </w:p>
          <w:p>
            <w:pPr>
              <w:pStyle w:val="Normal"/>
              <w:rPr>
                <w:rFonts w:ascii="Arial" w:hAnsi="Arial" w:eastAsia="Arial" w:cs="Arial"/>
                <w:sz w:val="20"/>
                <w:szCs w:val="20"/>
              </w:rPr>
            </w:pPr>
            <w:r>
              <w:rPr>
                <w:rFonts w:eastAsia="Arial" w:cs="Arial" w:ascii="Arial" w:hAnsi="Arial"/>
                <w:sz w:val="20"/>
                <w:szCs w:val="20"/>
              </w:rPr>
              <w:t>K_U05 - na podstawie wiedzy o stylach muzycznych i związanych z nimi tradycjami wykonawczymi, wykazuje się umiejętnością konstruowania i wykonywania spójnych i właściwych z punktu widzenia sztuki wykonawczej programów</w:t>
            </w:r>
          </w:p>
          <w:p>
            <w:pPr>
              <w:pStyle w:val="Normal"/>
              <w:rPr>
                <w:rFonts w:ascii="Arial" w:hAnsi="Arial" w:eastAsia="Arial" w:cs="Arial"/>
                <w:sz w:val="20"/>
                <w:szCs w:val="20"/>
              </w:rPr>
            </w:pPr>
            <w:r>
              <w:rPr>
                <w:rFonts w:eastAsia="Arial" w:cs="Arial" w:ascii="Arial" w:hAnsi="Arial"/>
                <w:sz w:val="20"/>
                <w:szCs w:val="20"/>
              </w:rPr>
              <w:t>K_U07 - posiada umiejętność kreowania i realizowania projektów artystycznych (często w powiązaniu z innymi dyscyplinami) oraz posiada zdolność do podjęcia wiodącej roli w zespołach różnego typu</w:t>
            </w:r>
          </w:p>
          <w:p>
            <w:pPr>
              <w:pStyle w:val="Normal"/>
              <w:rPr>
                <w:rFonts w:ascii="Arial" w:hAnsi="Arial" w:eastAsia="Arial" w:cs="Arial"/>
                <w:sz w:val="20"/>
                <w:szCs w:val="20"/>
              </w:rPr>
            </w:pPr>
            <w:r>
              <w:rPr>
                <w:rFonts w:eastAsia="Arial" w:cs="Arial" w:ascii="Arial" w:hAnsi="Arial"/>
                <w:sz w:val="20"/>
                <w:szCs w:val="20"/>
              </w:rPr>
              <w:t>K_U08 - kontynuując i rozwijając umiejętności nabyte na studiach pierwszego stopnia, poprzez indywidualną pracę utrzymuje i poszerza swoje zdolności do tworzenia, realizowania i wyrażania własnych koncepcji artystycznych</w:t>
            </w:r>
          </w:p>
          <w:p>
            <w:pPr>
              <w:pStyle w:val="Normal"/>
              <w:rPr>
                <w:rFonts w:ascii="Arial" w:hAnsi="Arial" w:eastAsia="Arial" w:cs="Arial"/>
                <w:sz w:val="20"/>
                <w:szCs w:val="20"/>
              </w:rPr>
            </w:pPr>
            <w:r>
              <w:rPr>
                <w:rFonts w:eastAsia="Arial" w:cs="Arial" w:ascii="Arial" w:hAnsi="Arial"/>
                <w:sz w:val="20"/>
                <w:szCs w:val="20"/>
              </w:rPr>
              <w:t>K_U09 - posiada umiejętność szybkiego odczytania i opanowania pamięciowego utworów, ze świadomym zastosowaniem różnych typów pamięci muzycznej</w:t>
            </w:r>
          </w:p>
          <w:p>
            <w:pPr>
              <w:pStyle w:val="Normal"/>
              <w:rPr>
                <w:rFonts w:ascii="Arial" w:hAnsi="Arial" w:eastAsia="Arial" w:cs="Arial"/>
                <w:sz w:val="20"/>
                <w:szCs w:val="20"/>
              </w:rPr>
            </w:pPr>
            <w:r>
              <w:rPr>
                <w:rFonts w:eastAsia="Arial" w:cs="Arial" w:ascii="Arial" w:hAnsi="Arial"/>
                <w:sz w:val="20"/>
                <w:szCs w:val="20"/>
              </w:rPr>
              <w:t>K_U10 - posiada umiejętność dogłębnego rozumienia i kontrolowania struktur rytmicznych i metrorytmicznych oraz aspektów dotyczących aplikatury, smyczkowania, pedalizacji, frazowania, struktury harmonicznej itp. opracowywanych utworów</w:t>
            </w:r>
          </w:p>
          <w:p>
            <w:pPr>
              <w:pStyle w:val="Normal"/>
              <w:rPr>
                <w:rFonts w:ascii="Arial" w:hAnsi="Arial" w:eastAsia="Arial" w:cs="Arial"/>
                <w:sz w:val="20"/>
                <w:szCs w:val="20"/>
              </w:rPr>
            </w:pPr>
            <w:r>
              <w:rPr>
                <w:rFonts w:eastAsia="Arial" w:cs="Arial" w:ascii="Arial" w:hAnsi="Arial"/>
                <w:sz w:val="20"/>
                <w:szCs w:val="20"/>
              </w:rPr>
              <w:t>K_U12 - posiada umiejętność tworzenia rozbudowanych prezentacji w formie słownej i pisemnej (także o charakterze multimedialnym) na tematy dotyczące zarówno własnej specjalizacji, jak i szerokiej problematyki z obszaru sztuki, wykazując zdolność formułowania własnych sądów i wyciągania trafnych wniosków</w:t>
            </w:r>
          </w:p>
          <w:p>
            <w:pPr>
              <w:pStyle w:val="Normal"/>
              <w:rPr>
                <w:rFonts w:ascii="Arial" w:hAnsi="Arial" w:eastAsia="Arial" w:cs="Arial"/>
                <w:sz w:val="20"/>
                <w:szCs w:val="20"/>
              </w:rPr>
            </w:pPr>
            <w:r>
              <w:rPr>
                <w:rFonts w:eastAsia="Arial" w:cs="Arial" w:ascii="Arial" w:hAnsi="Arial"/>
                <w:sz w:val="20"/>
                <w:szCs w:val="20"/>
              </w:rPr>
              <w:t>K_U14 - posiada umiejętność swobodnego kształtowania muzyki w sposób umożliwiający odejście od zapisanego tekstu nutowego</w:t>
            </w:r>
          </w:p>
          <w:p>
            <w:pPr>
              <w:pStyle w:val="Normal"/>
              <w:rPr>
                <w:rFonts w:ascii="Arial" w:hAnsi="Arial" w:eastAsia="Arial" w:cs="Arial"/>
                <w:sz w:val="20"/>
                <w:szCs w:val="20"/>
              </w:rPr>
            </w:pPr>
            <w:r>
              <w:rPr>
                <w:rFonts w:eastAsia="Arial" w:cs="Arial" w:ascii="Arial" w:hAnsi="Arial"/>
                <w:sz w:val="20"/>
                <w:szCs w:val="20"/>
              </w:rPr>
              <w:t>K_U17 - na bazie doświadczeń uzyskanych na studiach pierwszego stopnia wykazuje się umiejętnością świadomego stosowania technik pozwalających panować nad objawami stresu K_U18 - posiada umiejętność praktycznego zastosowania pogłębionej wiedzy dotyczącej szerokich aspektów pedagogiki, dającą kwalifikacje do nauczania w zakresie swej specjalności na wszystkich poziomach edukacji muzycznej</w:t>
            </w:r>
          </w:p>
          <w:p>
            <w:pPr>
              <w:pStyle w:val="Normal"/>
              <w:rPr>
                <w:rFonts w:ascii="Arial" w:hAnsi="Arial" w:eastAsia="Arial" w:cs="Arial"/>
              </w:rPr>
            </w:pPr>
            <w:r>
              <w:rPr>
                <w:rFonts w:eastAsia="Arial" w:cs="Arial" w:ascii="Arial" w:hAnsi="Arial"/>
              </w:rPr>
            </w:r>
          </w:p>
          <w:p>
            <w:pPr>
              <w:pStyle w:val="Normal"/>
              <w:rPr>
                <w:rFonts w:ascii="Arial" w:hAnsi="Arial" w:eastAsia="Arial" w:cs="Arial"/>
                <w:b/>
              </w:rPr>
            </w:pPr>
            <w:r>
              <w:rPr>
                <w:rFonts w:eastAsia="Arial" w:cs="Arial" w:ascii="Arial" w:hAnsi="Arial"/>
                <w:b/>
              </w:rPr>
              <w:t>Kompetencje społeczne: absolwent jest gotów do</w:t>
            </w:r>
          </w:p>
          <w:p>
            <w:pPr>
              <w:pStyle w:val="Normal"/>
              <w:rPr>
                <w:rFonts w:ascii="Arial" w:hAnsi="Arial" w:eastAsia="Arial" w:cs="Arial"/>
                <w:sz w:val="20"/>
                <w:szCs w:val="20"/>
              </w:rPr>
            </w:pPr>
            <w:r>
              <w:rPr>
                <w:rFonts w:eastAsia="Arial" w:cs="Arial" w:ascii="Arial" w:hAnsi="Arial"/>
                <w:sz w:val="20"/>
                <w:szCs w:val="20"/>
              </w:rPr>
            </w:r>
          </w:p>
          <w:p>
            <w:pPr>
              <w:pStyle w:val="Normal"/>
              <w:rPr>
                <w:rFonts w:ascii="Arial" w:hAnsi="Arial" w:eastAsia="Arial" w:cs="Arial"/>
                <w:sz w:val="20"/>
                <w:szCs w:val="20"/>
              </w:rPr>
            </w:pPr>
            <w:r>
              <w:rPr>
                <w:rFonts w:eastAsia="Arial" w:cs="Arial" w:ascii="Arial" w:hAnsi="Arial"/>
                <w:sz w:val="20"/>
                <w:szCs w:val="20"/>
              </w:rPr>
              <w:t>K_K01 - jest w pełni kompetentnym i samodzielnym artystą, zdolnym do świadomego integrowania zdobytej wiedzy w obrębie specjalności oraz w ramach innych szeroko pojętych działań kulturotwórczych</w:t>
            </w:r>
          </w:p>
          <w:p>
            <w:pPr>
              <w:pStyle w:val="Normal"/>
              <w:rPr>
                <w:rFonts w:ascii="Arial" w:hAnsi="Arial" w:eastAsia="Arial" w:cs="Arial"/>
                <w:sz w:val="20"/>
                <w:szCs w:val="20"/>
              </w:rPr>
            </w:pPr>
            <w:r>
              <w:rPr>
                <w:rFonts w:eastAsia="Arial" w:cs="Arial" w:ascii="Arial" w:hAnsi="Arial"/>
                <w:sz w:val="20"/>
                <w:szCs w:val="20"/>
              </w:rPr>
              <w:t>K_K02 - inicjuje działania artystyczne w zakresie szeroko pojętej kultury (podejmowanie projektów o charakterze interdyscyplinarnym lub też wymagających współpracy z przedstawicielami innych dziedzin sztuki i nauki)</w:t>
            </w:r>
          </w:p>
          <w:p>
            <w:pPr>
              <w:pStyle w:val="Normal"/>
              <w:rPr>
                <w:rFonts w:ascii="Arial" w:hAnsi="Arial" w:eastAsia="Arial" w:cs="Arial"/>
                <w:sz w:val="20"/>
                <w:szCs w:val="20"/>
              </w:rPr>
            </w:pPr>
            <w:r>
              <w:rPr>
                <w:rFonts w:eastAsia="Arial" w:cs="Arial" w:ascii="Arial" w:hAnsi="Arial"/>
                <w:sz w:val="20"/>
                <w:szCs w:val="20"/>
              </w:rPr>
              <w:t>K_K04 - posiada umiejętność krytycznej oceny własnych działań twórczych i artystycznych oraz umie poddać takiej ocenie inne przedsięwzięcia z zakresu kultury, sztuki i innych dziedzin działalności artystycznej</w:t>
            </w:r>
          </w:p>
          <w:p>
            <w:pPr>
              <w:pStyle w:val="Normal"/>
              <w:rPr>
                <w:rFonts w:ascii="Arial" w:hAnsi="Arial" w:eastAsia="Arial" w:cs="Arial"/>
                <w:sz w:val="20"/>
                <w:szCs w:val="20"/>
              </w:rPr>
            </w:pPr>
            <w:r>
              <w:rPr>
                <w:rFonts w:eastAsia="Arial" w:cs="Arial" w:ascii="Arial" w:hAnsi="Arial"/>
                <w:sz w:val="20"/>
                <w:szCs w:val="20"/>
              </w:rPr>
              <w:t>K_K05 - jest zdolny do inspirowania i organizowania procesu doskonalenia umiejętności warsztatowych innych osób</w:t>
            </w:r>
          </w:p>
          <w:p>
            <w:pPr>
              <w:pStyle w:val="Normal"/>
              <w:rPr>
                <w:rFonts w:ascii="Arial" w:hAnsi="Arial" w:eastAsia="Arial" w:cs="Arial"/>
                <w:sz w:val="20"/>
                <w:szCs w:val="20"/>
              </w:rPr>
            </w:pPr>
            <w:r>
              <w:rPr>
                <w:rFonts w:eastAsia="Arial" w:cs="Arial" w:ascii="Arial" w:hAnsi="Arial"/>
                <w:sz w:val="20"/>
                <w:szCs w:val="20"/>
              </w:rPr>
              <w:t>K_K08 - wypełnia rolę społeczną absolwenta studiów muzycznych dbając o dorobek, tradycje i aspekty etyczne swojego zawodu</w:t>
            </w:r>
          </w:p>
          <w:p>
            <w:pPr>
              <w:pStyle w:val="Normal"/>
              <w:rPr>
                <w:rFonts w:ascii="Arial" w:hAnsi="Arial" w:eastAsia="Arial" w:cs="Arial"/>
                <w:sz w:val="20"/>
                <w:szCs w:val="20"/>
              </w:rPr>
            </w:pPr>
            <w:r>
              <w:rPr>
                <w:rFonts w:eastAsia="Arial" w:cs="Arial" w:ascii="Arial" w:hAnsi="Arial"/>
                <w:sz w:val="20"/>
                <w:szCs w:val="20"/>
              </w:rPr>
              <w:t>K_K09 - świadomie umie zaplanować swoją ścieżkę kariery zawodowej na podstawie zdobytych na studiach umiejętności i wiedzy, wykorzystując również wiedzę zdobytą w procesie ustawicznego samokształcenia</w:t>
            </w:r>
          </w:p>
          <w:p>
            <w:pPr>
              <w:pStyle w:val="Normal"/>
              <w:rPr>
                <w:rFonts w:ascii="Arial" w:hAnsi="Arial" w:eastAsia="Arial" w:cs="Arial"/>
                <w:sz w:val="20"/>
                <w:szCs w:val="20"/>
              </w:rPr>
            </w:pPr>
            <w:r>
              <w:rPr>
                <w:rFonts w:eastAsia="Arial" w:cs="Arial" w:ascii="Arial" w:hAnsi="Arial"/>
                <w:sz w:val="20"/>
                <w:szCs w:val="20"/>
              </w:rPr>
            </w:r>
          </w:p>
          <w:p>
            <w:pPr>
              <w:pStyle w:val="Normal"/>
              <w:rPr>
                <w:rFonts w:ascii="Arial" w:hAnsi="Arial" w:eastAsia="Arial" w:cs="Arial"/>
                <w:sz w:val="20"/>
                <w:szCs w:val="20"/>
              </w:rPr>
            </w:pPr>
            <w:r>
              <w:rPr>
                <w:rFonts w:eastAsia="Arial" w:cs="Arial" w:ascii="Arial" w:hAnsi="Arial"/>
                <w:sz w:val="20"/>
                <w:szCs w:val="20"/>
              </w:rPr>
            </w:r>
          </w:p>
          <w:p>
            <w:pPr>
              <w:pStyle w:val="Normal"/>
              <w:rPr>
                <w:rFonts w:ascii="Arial" w:hAnsi="Arial" w:eastAsia="Arial" w:cs="Arial"/>
                <w:sz w:val="20"/>
                <w:szCs w:val="20"/>
              </w:rPr>
            </w:pPr>
            <w:r>
              <w:rPr>
                <w:rFonts w:eastAsia="Arial" w:cs="Arial" w:ascii="Arial" w:hAnsi="Arial"/>
                <w:sz w:val="20"/>
                <w:szCs w:val="20"/>
              </w:rPr>
            </w:r>
          </w:p>
        </w:tc>
      </w:tr>
      <w:tr>
        <w:trPr/>
        <w:tc>
          <w:tcPr>
            <w:tcW w:w="9075" w:type="dxa"/>
            <w:gridSpan w:val="10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center"/>
              <w:rPr>
                <w:rFonts w:ascii="Arial" w:hAnsi="Arial" w:eastAsia="Arial" w:cs="Arial"/>
                <w:b/>
              </w:rPr>
            </w:pPr>
            <w:r>
              <w:rPr>
                <w:rFonts w:eastAsia="Arial" w:cs="Arial" w:ascii="Arial" w:hAnsi="Arial"/>
                <w:b/>
              </w:rPr>
              <w:t>NAKŁAD PRACY STUDENTA</w:t>
            </w:r>
          </w:p>
        </w:tc>
      </w:tr>
      <w:tr>
        <w:trPr/>
        <w:tc>
          <w:tcPr>
            <w:tcW w:w="22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91" w:leader="none"/>
              </w:tabs>
              <w:rPr>
                <w:rFonts w:ascii="Arial" w:hAnsi="Arial" w:eastAsia="Arial" w:cs="Arial"/>
                <w:b/>
                <w:sz w:val="20"/>
                <w:szCs w:val="20"/>
              </w:rPr>
            </w:pPr>
            <w:r>
              <w:rPr>
                <w:rFonts w:eastAsia="Arial" w:cs="Arial" w:ascii="Arial" w:hAnsi="Arial"/>
                <w:b/>
                <w:sz w:val="20"/>
                <w:szCs w:val="20"/>
              </w:rPr>
              <w:t>Rok</w:t>
            </w:r>
          </w:p>
        </w:tc>
        <w:tc>
          <w:tcPr>
            <w:tcW w:w="3255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91" w:leader="none"/>
              </w:tabs>
              <w:jc w:val="center"/>
              <w:rPr>
                <w:rFonts w:ascii="Arial" w:hAnsi="Arial" w:eastAsia="Arial" w:cs="Arial"/>
                <w:sz w:val="20"/>
                <w:szCs w:val="20"/>
              </w:rPr>
            </w:pPr>
            <w:r>
              <w:rPr>
                <w:rFonts w:eastAsia="Arial" w:cs="Arial" w:ascii="Arial" w:hAnsi="Arial"/>
                <w:sz w:val="20"/>
                <w:szCs w:val="20"/>
              </w:rPr>
              <w:t>I</w:t>
            </w:r>
          </w:p>
        </w:tc>
        <w:tc>
          <w:tcPr>
            <w:tcW w:w="355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91" w:leader="none"/>
              </w:tabs>
              <w:jc w:val="center"/>
              <w:rPr>
                <w:rFonts w:ascii="Arial" w:hAnsi="Arial" w:eastAsia="Arial" w:cs="Arial"/>
                <w:sz w:val="20"/>
                <w:szCs w:val="20"/>
              </w:rPr>
            </w:pPr>
            <w:r>
              <w:rPr>
                <w:rFonts w:eastAsia="Arial" w:cs="Arial" w:ascii="Arial" w:hAnsi="Arial"/>
                <w:sz w:val="20"/>
                <w:szCs w:val="20"/>
              </w:rPr>
              <w:t>II</w:t>
            </w:r>
          </w:p>
        </w:tc>
      </w:tr>
      <w:tr>
        <w:trPr/>
        <w:tc>
          <w:tcPr>
            <w:tcW w:w="22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91" w:leader="none"/>
              </w:tabs>
              <w:rPr>
                <w:rFonts w:ascii="Arial" w:hAnsi="Arial" w:eastAsia="Arial" w:cs="Arial"/>
                <w:b/>
                <w:sz w:val="20"/>
                <w:szCs w:val="20"/>
              </w:rPr>
            </w:pPr>
            <w:r>
              <w:rPr>
                <w:rFonts w:eastAsia="Arial" w:cs="Arial" w:ascii="Arial" w:hAnsi="Arial"/>
                <w:b/>
                <w:sz w:val="20"/>
                <w:szCs w:val="20"/>
              </w:rPr>
              <w:t>Semestr</w:t>
            </w:r>
          </w:p>
        </w:tc>
        <w:tc>
          <w:tcPr>
            <w:tcW w:w="169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91" w:leader="none"/>
              </w:tabs>
              <w:jc w:val="center"/>
              <w:rPr>
                <w:rFonts w:ascii="Arial" w:hAnsi="Arial" w:eastAsia="Arial" w:cs="Arial"/>
                <w:sz w:val="20"/>
                <w:szCs w:val="20"/>
              </w:rPr>
            </w:pPr>
            <w:r>
              <w:rPr>
                <w:rFonts w:eastAsia="Arial" w:cs="Arial" w:ascii="Arial" w:hAnsi="Arial"/>
                <w:sz w:val="20"/>
                <w:szCs w:val="20"/>
              </w:rPr>
              <w:t>1</w:t>
            </w:r>
          </w:p>
        </w:tc>
        <w:tc>
          <w:tcPr>
            <w:tcW w:w="156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91" w:leader="none"/>
              </w:tabs>
              <w:jc w:val="center"/>
              <w:rPr>
                <w:rFonts w:ascii="Arial" w:hAnsi="Arial" w:eastAsia="Arial" w:cs="Arial"/>
                <w:sz w:val="20"/>
                <w:szCs w:val="20"/>
              </w:rPr>
            </w:pPr>
            <w:r>
              <w:rPr>
                <w:rFonts w:eastAsia="Arial" w:cs="Arial" w:ascii="Arial" w:hAnsi="Arial"/>
                <w:sz w:val="20"/>
                <w:szCs w:val="20"/>
              </w:rPr>
              <w:t>2</w:t>
            </w:r>
          </w:p>
        </w:tc>
        <w:tc>
          <w:tcPr>
            <w:tcW w:w="185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91" w:leader="none"/>
              </w:tabs>
              <w:jc w:val="center"/>
              <w:rPr>
                <w:rFonts w:ascii="Arial" w:hAnsi="Arial" w:eastAsia="Arial" w:cs="Arial"/>
                <w:sz w:val="20"/>
                <w:szCs w:val="20"/>
              </w:rPr>
            </w:pPr>
            <w:r>
              <w:rPr>
                <w:rFonts w:eastAsia="Arial" w:cs="Arial" w:ascii="Arial" w:hAnsi="Arial"/>
                <w:sz w:val="20"/>
                <w:szCs w:val="20"/>
              </w:rPr>
              <w:t>3</w:t>
            </w:r>
          </w:p>
        </w:tc>
        <w:tc>
          <w:tcPr>
            <w:tcW w:w="16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91" w:leader="none"/>
              </w:tabs>
              <w:jc w:val="center"/>
              <w:rPr>
                <w:rFonts w:ascii="Arial" w:hAnsi="Arial" w:eastAsia="Arial" w:cs="Arial"/>
                <w:sz w:val="20"/>
                <w:szCs w:val="20"/>
              </w:rPr>
            </w:pPr>
            <w:r>
              <w:rPr>
                <w:rFonts w:eastAsia="Arial" w:cs="Arial" w:ascii="Arial" w:hAnsi="Arial"/>
                <w:sz w:val="20"/>
                <w:szCs w:val="20"/>
              </w:rPr>
              <w:t>4</w:t>
            </w:r>
          </w:p>
        </w:tc>
      </w:tr>
      <w:tr>
        <w:trPr/>
        <w:tc>
          <w:tcPr>
            <w:tcW w:w="22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91" w:leader="none"/>
              </w:tabs>
              <w:rPr>
                <w:rFonts w:ascii="Arial" w:hAnsi="Arial" w:eastAsia="Arial" w:cs="Arial"/>
                <w:b/>
                <w:sz w:val="20"/>
                <w:szCs w:val="20"/>
              </w:rPr>
            </w:pPr>
            <w:r>
              <w:rPr>
                <w:rFonts w:eastAsia="Arial" w:cs="Arial" w:ascii="Arial" w:hAnsi="Arial"/>
                <w:b/>
                <w:sz w:val="20"/>
                <w:szCs w:val="20"/>
              </w:rPr>
              <w:t>Punkty ECTS</w:t>
            </w:r>
          </w:p>
        </w:tc>
        <w:tc>
          <w:tcPr>
            <w:tcW w:w="169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91" w:leader="none"/>
              </w:tabs>
              <w:jc w:val="center"/>
              <w:rPr>
                <w:rFonts w:ascii="Arial" w:hAnsi="Arial" w:eastAsia="Arial" w:cs="Arial"/>
                <w:sz w:val="20"/>
                <w:szCs w:val="20"/>
              </w:rPr>
            </w:pPr>
            <w:r>
              <w:rPr>
                <w:rFonts w:eastAsia="Arial" w:cs="Arial" w:ascii="Arial" w:hAnsi="Arial"/>
                <w:sz w:val="20"/>
                <w:szCs w:val="20"/>
              </w:rPr>
              <w:t>13</w:t>
            </w:r>
          </w:p>
        </w:tc>
        <w:tc>
          <w:tcPr>
            <w:tcW w:w="156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91" w:leader="none"/>
              </w:tabs>
              <w:jc w:val="center"/>
              <w:rPr>
                <w:rFonts w:ascii="Arial" w:hAnsi="Arial" w:eastAsia="Arial" w:cs="Arial"/>
                <w:sz w:val="20"/>
                <w:szCs w:val="20"/>
              </w:rPr>
            </w:pPr>
            <w:r>
              <w:rPr>
                <w:rFonts w:eastAsia="Arial" w:cs="Arial" w:ascii="Arial" w:hAnsi="Arial"/>
                <w:sz w:val="20"/>
                <w:szCs w:val="20"/>
              </w:rPr>
              <w:t>11</w:t>
            </w:r>
          </w:p>
        </w:tc>
        <w:tc>
          <w:tcPr>
            <w:tcW w:w="185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91" w:leader="none"/>
              </w:tabs>
              <w:jc w:val="center"/>
              <w:rPr>
                <w:rFonts w:ascii="Arial" w:hAnsi="Arial" w:eastAsia="Arial" w:cs="Arial"/>
                <w:sz w:val="20"/>
                <w:szCs w:val="20"/>
              </w:rPr>
            </w:pPr>
            <w:r>
              <w:rPr>
                <w:rFonts w:eastAsia="Arial" w:cs="Arial" w:ascii="Arial" w:hAnsi="Arial"/>
                <w:sz w:val="20"/>
                <w:szCs w:val="20"/>
              </w:rPr>
              <w:t>16</w:t>
            </w:r>
          </w:p>
        </w:tc>
        <w:tc>
          <w:tcPr>
            <w:tcW w:w="16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91" w:leader="none"/>
              </w:tabs>
              <w:jc w:val="center"/>
              <w:rPr>
                <w:rFonts w:ascii="Arial" w:hAnsi="Arial" w:eastAsia="Arial" w:cs="Arial"/>
                <w:sz w:val="20"/>
                <w:szCs w:val="20"/>
              </w:rPr>
            </w:pPr>
            <w:r>
              <w:rPr>
                <w:rFonts w:eastAsia="Arial" w:cs="Arial" w:ascii="Arial" w:hAnsi="Arial"/>
                <w:sz w:val="20"/>
                <w:szCs w:val="20"/>
              </w:rPr>
              <w:t>17</w:t>
            </w:r>
          </w:p>
        </w:tc>
      </w:tr>
      <w:tr>
        <w:trPr/>
        <w:tc>
          <w:tcPr>
            <w:tcW w:w="22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91" w:leader="none"/>
              </w:tabs>
              <w:rPr>
                <w:rFonts w:ascii="Arial" w:hAnsi="Arial" w:eastAsia="Arial" w:cs="Arial"/>
                <w:b/>
                <w:sz w:val="20"/>
                <w:szCs w:val="20"/>
              </w:rPr>
            </w:pPr>
            <w:r>
              <w:rPr>
                <w:rFonts w:eastAsia="Arial" w:cs="Arial" w:ascii="Arial" w:hAnsi="Arial"/>
                <w:b/>
                <w:sz w:val="20"/>
                <w:szCs w:val="20"/>
              </w:rPr>
              <w:t>Liczba godzin</w:t>
            </w:r>
          </w:p>
          <w:p>
            <w:pPr>
              <w:pStyle w:val="Normal"/>
              <w:tabs>
                <w:tab w:val="clear" w:pos="720"/>
                <w:tab w:val="left" w:pos="5491" w:leader="none"/>
              </w:tabs>
              <w:rPr>
                <w:rFonts w:ascii="Arial" w:hAnsi="Arial" w:eastAsia="Arial" w:cs="Arial"/>
                <w:b/>
                <w:sz w:val="20"/>
                <w:szCs w:val="20"/>
              </w:rPr>
            </w:pPr>
            <w:r>
              <w:rPr>
                <w:rFonts w:eastAsia="Arial" w:cs="Arial" w:ascii="Arial" w:hAnsi="Arial"/>
                <w:b/>
                <w:sz w:val="20"/>
                <w:szCs w:val="20"/>
              </w:rPr>
              <w:t>w tygodniu</w:t>
            </w:r>
          </w:p>
        </w:tc>
        <w:tc>
          <w:tcPr>
            <w:tcW w:w="169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91" w:leader="none"/>
              </w:tabs>
              <w:jc w:val="center"/>
              <w:rPr>
                <w:rFonts w:ascii="Arial" w:hAnsi="Arial" w:eastAsia="Arial" w:cs="Arial"/>
                <w:sz w:val="20"/>
                <w:szCs w:val="20"/>
              </w:rPr>
            </w:pPr>
            <w:r>
              <w:rPr>
                <w:rFonts w:eastAsia="Arial" w:cs="Arial" w:ascii="Arial" w:hAnsi="Arial"/>
                <w:sz w:val="20"/>
                <w:szCs w:val="20"/>
              </w:rPr>
              <w:t>1</w:t>
            </w:r>
          </w:p>
        </w:tc>
        <w:tc>
          <w:tcPr>
            <w:tcW w:w="156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91" w:leader="none"/>
              </w:tabs>
              <w:jc w:val="center"/>
              <w:rPr>
                <w:rFonts w:ascii="Arial" w:hAnsi="Arial" w:eastAsia="Arial" w:cs="Arial"/>
                <w:sz w:val="20"/>
                <w:szCs w:val="20"/>
              </w:rPr>
            </w:pPr>
            <w:r>
              <w:rPr>
                <w:rFonts w:eastAsia="Arial" w:cs="Arial" w:ascii="Arial" w:hAnsi="Arial"/>
                <w:sz w:val="20"/>
                <w:szCs w:val="20"/>
              </w:rPr>
              <w:t>1</w:t>
            </w:r>
          </w:p>
        </w:tc>
        <w:tc>
          <w:tcPr>
            <w:tcW w:w="185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91" w:leader="none"/>
              </w:tabs>
              <w:jc w:val="center"/>
              <w:rPr>
                <w:rFonts w:ascii="Arial" w:hAnsi="Arial" w:eastAsia="Arial" w:cs="Arial"/>
                <w:sz w:val="20"/>
                <w:szCs w:val="20"/>
              </w:rPr>
            </w:pPr>
            <w:r>
              <w:rPr>
                <w:rFonts w:eastAsia="Arial" w:cs="Arial" w:ascii="Arial" w:hAnsi="Arial"/>
                <w:sz w:val="20"/>
                <w:szCs w:val="20"/>
              </w:rPr>
              <w:t>2</w:t>
            </w:r>
          </w:p>
        </w:tc>
        <w:tc>
          <w:tcPr>
            <w:tcW w:w="16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91" w:leader="none"/>
              </w:tabs>
              <w:jc w:val="center"/>
              <w:rPr>
                <w:rFonts w:ascii="Arial" w:hAnsi="Arial" w:eastAsia="Arial" w:cs="Arial"/>
                <w:sz w:val="20"/>
                <w:szCs w:val="20"/>
              </w:rPr>
            </w:pPr>
            <w:r>
              <w:rPr>
                <w:rFonts w:eastAsia="Arial" w:cs="Arial" w:ascii="Arial" w:hAnsi="Arial"/>
                <w:sz w:val="20"/>
                <w:szCs w:val="20"/>
              </w:rPr>
              <w:t>2</w:t>
            </w:r>
          </w:p>
        </w:tc>
      </w:tr>
      <w:tr>
        <w:trPr/>
        <w:tc>
          <w:tcPr>
            <w:tcW w:w="22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91" w:leader="none"/>
              </w:tabs>
              <w:rPr>
                <w:rFonts w:ascii="Arial" w:hAnsi="Arial" w:eastAsia="Arial" w:cs="Arial"/>
                <w:b/>
                <w:sz w:val="20"/>
                <w:szCs w:val="20"/>
              </w:rPr>
            </w:pPr>
            <w:r>
              <w:rPr>
                <w:rFonts w:eastAsia="Arial" w:cs="Arial" w:ascii="Arial" w:hAnsi="Arial"/>
                <w:b/>
                <w:sz w:val="20"/>
                <w:szCs w:val="20"/>
              </w:rPr>
              <w:t>Rodzaj zaliczenia</w:t>
            </w:r>
          </w:p>
        </w:tc>
        <w:tc>
          <w:tcPr>
            <w:tcW w:w="169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91" w:leader="none"/>
              </w:tabs>
              <w:jc w:val="center"/>
              <w:rPr>
                <w:rFonts w:ascii="Arial" w:hAnsi="Arial" w:eastAsia="Arial" w:cs="Arial"/>
                <w:sz w:val="20"/>
                <w:szCs w:val="20"/>
              </w:rPr>
            </w:pPr>
            <w:r>
              <w:rPr>
                <w:rFonts w:eastAsia="Arial" w:cs="Arial" w:ascii="Arial" w:hAnsi="Arial"/>
                <w:sz w:val="20"/>
                <w:szCs w:val="20"/>
              </w:rPr>
              <w:t>ekm</w:t>
            </w:r>
          </w:p>
        </w:tc>
        <w:tc>
          <w:tcPr>
            <w:tcW w:w="156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91" w:leader="none"/>
              </w:tabs>
              <w:jc w:val="center"/>
              <w:rPr>
                <w:rFonts w:ascii="Arial" w:hAnsi="Arial" w:eastAsia="Arial" w:cs="Arial"/>
                <w:sz w:val="20"/>
                <w:szCs w:val="20"/>
              </w:rPr>
            </w:pPr>
            <w:r>
              <w:rPr>
                <w:rFonts w:eastAsia="Arial" w:cs="Arial" w:ascii="Arial" w:hAnsi="Arial"/>
                <w:sz w:val="20"/>
                <w:szCs w:val="20"/>
              </w:rPr>
              <w:t>ekm</w:t>
            </w:r>
          </w:p>
        </w:tc>
        <w:tc>
          <w:tcPr>
            <w:tcW w:w="185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91" w:leader="none"/>
              </w:tabs>
              <w:jc w:val="center"/>
              <w:rPr>
                <w:rFonts w:ascii="Arial" w:hAnsi="Arial" w:eastAsia="Arial" w:cs="Arial"/>
                <w:sz w:val="20"/>
                <w:szCs w:val="20"/>
              </w:rPr>
            </w:pPr>
            <w:r>
              <w:rPr>
                <w:rFonts w:eastAsia="Arial" w:cs="Arial" w:ascii="Arial" w:hAnsi="Arial"/>
                <w:sz w:val="20"/>
                <w:szCs w:val="20"/>
              </w:rPr>
              <w:t>zal</w:t>
            </w:r>
          </w:p>
        </w:tc>
        <w:tc>
          <w:tcPr>
            <w:tcW w:w="16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91" w:leader="none"/>
              </w:tabs>
              <w:jc w:val="center"/>
              <w:rPr>
                <w:rFonts w:ascii="Arial" w:hAnsi="Arial" w:eastAsia="Arial" w:cs="Arial"/>
                <w:sz w:val="20"/>
                <w:szCs w:val="20"/>
              </w:rPr>
            </w:pPr>
            <w:r>
              <w:rPr>
                <w:rFonts w:eastAsia="Arial" w:cs="Arial" w:ascii="Arial" w:hAnsi="Arial"/>
                <w:sz w:val="20"/>
                <w:szCs w:val="20"/>
              </w:rPr>
              <w:t>zal</w:t>
            </w:r>
          </w:p>
        </w:tc>
      </w:tr>
      <w:tr>
        <w:trPr/>
        <w:tc>
          <w:tcPr>
            <w:tcW w:w="9075" w:type="dxa"/>
            <w:gridSpan w:val="10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hd w:val="clear" w:fill="FFFFFF"/>
              <w:ind w:right="240"/>
              <w:jc w:val="center"/>
              <w:rPr>
                <w:rFonts w:ascii="Arial" w:hAnsi="Arial" w:eastAsia="Arial" w:cs="Arial"/>
                <w:b/>
                <w:color w:val="000000"/>
              </w:rPr>
            </w:pPr>
            <w:r>
              <w:rPr>
                <w:rFonts w:eastAsia="Arial" w:cs="Arial" w:ascii="Arial" w:hAnsi="Arial"/>
                <w:b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eastAsia="Arial" w:cs="Arial"/>
                <w:b/>
              </w:rPr>
            </w:pPr>
            <w:r>
              <w:rPr>
                <w:rFonts w:eastAsia="Arial" w:cs="Arial" w:ascii="Arial" w:hAnsi="Arial"/>
                <w:b/>
              </w:rPr>
              <w:t>WYMAGANIA KOŃCOWE</w:t>
            </w:r>
          </w:p>
          <w:p>
            <w:pPr>
              <w:pStyle w:val="Normal"/>
              <w:shd w:val="clear" w:fill="FFFFFF"/>
              <w:ind w:right="240"/>
              <w:jc w:val="center"/>
              <w:rPr>
                <w:rFonts w:ascii="Arial" w:hAnsi="Arial" w:eastAsia="Arial" w:cs="Arial"/>
                <w:b/>
                <w:color w:val="000000"/>
              </w:rPr>
            </w:pPr>
            <w:r>
              <w:rPr>
                <w:rFonts w:eastAsia="Arial" w:cs="Arial" w:ascii="Arial" w:hAnsi="Arial"/>
                <w:b/>
                <w:color w:val="000000"/>
              </w:rPr>
            </w:r>
          </w:p>
        </w:tc>
      </w:tr>
      <w:tr>
        <w:trPr/>
        <w:tc>
          <w:tcPr>
            <w:tcW w:w="9075" w:type="dxa"/>
            <w:gridSpan w:val="10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center" w:pos="4536" w:leader="none"/>
                <w:tab w:val="right" w:pos="9072" w:leader="none"/>
              </w:tabs>
              <w:jc w:val="both"/>
              <w:rPr>
                <w:rFonts w:ascii="Arial" w:hAnsi="Arial" w:eastAsia="Arial" w:cs="Arial"/>
                <w:color w:val="000000"/>
              </w:rPr>
            </w:pPr>
            <w:r>
              <w:rPr>
                <w:rFonts w:eastAsia="Arial" w:cs="Arial" w:ascii="Arial" w:hAnsi="Arial"/>
                <w:color w:val="000000"/>
              </w:rPr>
            </w:r>
          </w:p>
          <w:p>
            <w:pPr>
              <w:pStyle w:val="Normal"/>
              <w:tabs>
                <w:tab w:val="clear" w:pos="720"/>
                <w:tab w:val="center" w:pos="4536" w:leader="none"/>
                <w:tab w:val="right" w:pos="9072" w:leader="none"/>
              </w:tabs>
              <w:jc w:val="both"/>
              <w:rPr>
                <w:rFonts w:ascii="Arial" w:hAnsi="Arial" w:eastAsia="Arial" w:cs="Arial"/>
                <w:sz w:val="20"/>
                <w:szCs w:val="20"/>
              </w:rPr>
            </w:pPr>
            <w:r>
              <w:rPr>
                <w:rFonts w:eastAsia="Arial" w:cs="Arial" w:ascii="Arial" w:hAnsi="Arial"/>
                <w:sz w:val="20"/>
                <w:szCs w:val="20"/>
              </w:rPr>
              <w:t>Publiczne wykonanie 2 recitali dyplomowych.</w:t>
            </w:r>
          </w:p>
          <w:p>
            <w:pPr>
              <w:pStyle w:val="Normal"/>
              <w:tabs>
                <w:tab w:val="clear" w:pos="720"/>
                <w:tab w:val="center" w:pos="4536" w:leader="none"/>
                <w:tab w:val="right" w:pos="9072" w:leader="none"/>
              </w:tabs>
              <w:jc w:val="both"/>
              <w:rPr>
                <w:rFonts w:ascii="Arial" w:hAnsi="Arial" w:eastAsia="Arial" w:cs="Arial"/>
                <w:color w:val="000000"/>
                <w:sz w:val="20"/>
                <w:szCs w:val="20"/>
              </w:rPr>
            </w:pPr>
            <w:r>
              <w:rPr>
                <w:rFonts w:eastAsia="Arial" w:cs="Arial" w:ascii="Arial" w:hAnsi="Arial"/>
                <w:sz w:val="20"/>
                <w:szCs w:val="20"/>
              </w:rPr>
              <w:t>Napisanie pracy dyplomowej i jej obrona</w:t>
            </w:r>
          </w:p>
          <w:p>
            <w:pPr>
              <w:pStyle w:val="Normal"/>
              <w:tabs>
                <w:tab w:val="clear" w:pos="720"/>
                <w:tab w:val="center" w:pos="4536" w:leader="none"/>
                <w:tab w:val="right" w:pos="9072" w:leader="none"/>
              </w:tabs>
              <w:jc w:val="both"/>
              <w:rPr>
                <w:rFonts w:ascii="Arial" w:hAnsi="Arial" w:eastAsia="Arial" w:cs="Arial"/>
                <w:color w:val="000000"/>
                <w:sz w:val="20"/>
                <w:szCs w:val="20"/>
              </w:rPr>
            </w:pPr>
            <w:r>
              <w:rPr>
                <w:rFonts w:eastAsia="Arial" w:cs="Arial" w:ascii="Arial" w:hAnsi="Arial"/>
                <w:color w:val="000000"/>
                <w:sz w:val="20"/>
                <w:szCs w:val="20"/>
              </w:rPr>
            </w:r>
          </w:p>
          <w:p>
            <w:pPr>
              <w:pStyle w:val="Normal"/>
              <w:tabs>
                <w:tab w:val="clear" w:pos="720"/>
                <w:tab w:val="center" w:pos="4536" w:leader="none"/>
                <w:tab w:val="right" w:pos="9072" w:leader="none"/>
              </w:tabs>
              <w:jc w:val="both"/>
              <w:rPr>
                <w:rFonts w:ascii="Arial" w:hAnsi="Arial" w:eastAsia="Arial" w:cs="Arial"/>
                <w:b/>
                <w:sz w:val="20"/>
                <w:szCs w:val="20"/>
              </w:rPr>
            </w:pPr>
            <w:r>
              <w:rPr>
                <w:rFonts w:eastAsia="Arial" w:cs="Arial" w:ascii="Arial" w:hAnsi="Arial"/>
                <w:b/>
                <w:sz w:val="20"/>
                <w:szCs w:val="20"/>
              </w:rPr>
              <w:t>Kryteria oceny:</w:t>
            </w:r>
          </w:p>
          <w:p>
            <w:pPr>
              <w:pStyle w:val="Normal"/>
              <w:tabs>
                <w:tab w:val="clear" w:pos="720"/>
                <w:tab w:val="center" w:pos="4536" w:leader="none"/>
                <w:tab w:val="right" w:pos="9072" w:leader="none"/>
              </w:tabs>
              <w:jc w:val="both"/>
              <w:rPr>
                <w:rFonts w:ascii="Arial" w:hAnsi="Arial" w:eastAsia="Arial" w:cs="Arial"/>
                <w:sz w:val="20"/>
                <w:szCs w:val="20"/>
              </w:rPr>
            </w:pPr>
            <w:r>
              <w:rPr>
                <w:rFonts w:eastAsia="Arial" w:cs="Arial" w:ascii="Arial" w:hAnsi="Arial"/>
                <w:sz w:val="20"/>
                <w:szCs w:val="20"/>
              </w:rPr>
            </w:r>
          </w:p>
          <w:p>
            <w:pPr>
              <w:pStyle w:val="Normal"/>
              <w:tabs>
                <w:tab w:val="clear" w:pos="720"/>
                <w:tab w:val="center" w:pos="4536" w:leader="none"/>
                <w:tab w:val="right" w:pos="9072" w:leader="none"/>
              </w:tabs>
              <w:jc w:val="both"/>
              <w:rPr>
                <w:rFonts w:ascii="Arial" w:hAnsi="Arial" w:eastAsia="Arial" w:cs="Arial"/>
                <w:sz w:val="20"/>
                <w:szCs w:val="20"/>
              </w:rPr>
            </w:pPr>
            <w:r>
              <w:rPr>
                <w:rFonts w:eastAsia="Arial" w:cs="Arial" w:ascii="Arial" w:hAnsi="Arial"/>
                <w:sz w:val="20"/>
                <w:szCs w:val="20"/>
              </w:rPr>
              <w:t>- warsztat wykonawczy</w:t>
            </w:r>
          </w:p>
          <w:p>
            <w:pPr>
              <w:pStyle w:val="Normal"/>
              <w:tabs>
                <w:tab w:val="clear" w:pos="720"/>
                <w:tab w:val="center" w:pos="4536" w:leader="none"/>
                <w:tab w:val="right" w:pos="9072" w:leader="none"/>
              </w:tabs>
              <w:jc w:val="both"/>
              <w:rPr>
                <w:rFonts w:ascii="Arial" w:hAnsi="Arial" w:eastAsia="Arial" w:cs="Arial"/>
                <w:sz w:val="20"/>
                <w:szCs w:val="20"/>
              </w:rPr>
            </w:pPr>
            <w:r>
              <w:rPr>
                <w:rFonts w:eastAsia="Arial" w:cs="Arial" w:ascii="Arial" w:hAnsi="Arial"/>
                <w:sz w:val="20"/>
                <w:szCs w:val="20"/>
              </w:rPr>
              <w:t>- umiejętności techniczne</w:t>
            </w:r>
          </w:p>
          <w:p>
            <w:pPr>
              <w:pStyle w:val="Normal"/>
              <w:tabs>
                <w:tab w:val="clear" w:pos="720"/>
                <w:tab w:val="center" w:pos="4536" w:leader="none"/>
                <w:tab w:val="right" w:pos="9072" w:leader="none"/>
              </w:tabs>
              <w:jc w:val="both"/>
              <w:rPr>
                <w:rFonts w:ascii="Arial" w:hAnsi="Arial" w:eastAsia="Arial" w:cs="Arial"/>
                <w:sz w:val="20"/>
                <w:szCs w:val="20"/>
              </w:rPr>
            </w:pPr>
            <w:r>
              <w:rPr>
                <w:rFonts w:eastAsia="Arial" w:cs="Arial" w:ascii="Arial" w:hAnsi="Arial"/>
                <w:sz w:val="20"/>
                <w:szCs w:val="20"/>
              </w:rPr>
              <w:t>- opanowanie i zrozumienie tekstu muzycznego, logika narracji muzycznej</w:t>
            </w:r>
          </w:p>
          <w:p>
            <w:pPr>
              <w:pStyle w:val="Normal"/>
              <w:tabs>
                <w:tab w:val="clear" w:pos="720"/>
                <w:tab w:val="center" w:pos="4536" w:leader="none"/>
                <w:tab w:val="right" w:pos="9072" w:leader="none"/>
              </w:tabs>
              <w:jc w:val="both"/>
              <w:rPr>
                <w:rFonts w:ascii="Arial" w:hAnsi="Arial" w:eastAsia="Arial" w:cs="Arial"/>
                <w:sz w:val="20"/>
                <w:szCs w:val="20"/>
              </w:rPr>
            </w:pPr>
            <w:r>
              <w:rPr>
                <w:rFonts w:eastAsia="Arial" w:cs="Arial" w:ascii="Arial" w:hAnsi="Arial"/>
                <w:sz w:val="20"/>
                <w:szCs w:val="20"/>
              </w:rPr>
              <w:t>- frazowanie</w:t>
            </w:r>
          </w:p>
          <w:p>
            <w:pPr>
              <w:pStyle w:val="Normal"/>
              <w:tabs>
                <w:tab w:val="clear" w:pos="720"/>
                <w:tab w:val="center" w:pos="4536" w:leader="none"/>
                <w:tab w:val="right" w:pos="9072" w:leader="none"/>
              </w:tabs>
              <w:jc w:val="both"/>
              <w:rPr>
                <w:rFonts w:ascii="Arial" w:hAnsi="Arial" w:eastAsia="Arial" w:cs="Arial"/>
                <w:sz w:val="20"/>
                <w:szCs w:val="20"/>
              </w:rPr>
            </w:pPr>
            <w:r>
              <w:rPr>
                <w:rFonts w:eastAsia="Arial" w:cs="Arial" w:ascii="Arial" w:hAnsi="Arial"/>
                <w:sz w:val="20"/>
                <w:szCs w:val="20"/>
              </w:rPr>
              <w:t>- umiejętność wypowiedzi w różnych stylach i formach muzycznych</w:t>
            </w:r>
          </w:p>
          <w:p>
            <w:pPr>
              <w:pStyle w:val="Normal"/>
              <w:tabs>
                <w:tab w:val="clear" w:pos="720"/>
                <w:tab w:val="center" w:pos="4536" w:leader="none"/>
                <w:tab w:val="right" w:pos="9072" w:leader="none"/>
              </w:tabs>
              <w:jc w:val="both"/>
              <w:rPr>
                <w:rFonts w:ascii="Arial" w:hAnsi="Arial" w:eastAsia="Arial" w:cs="Arial"/>
                <w:sz w:val="20"/>
                <w:szCs w:val="20"/>
              </w:rPr>
            </w:pPr>
            <w:r>
              <w:rPr>
                <w:rFonts w:eastAsia="Arial" w:cs="Arial" w:ascii="Arial" w:hAnsi="Arial"/>
                <w:sz w:val="20"/>
                <w:szCs w:val="20"/>
              </w:rPr>
              <w:t>- kształtowanie dźwięku i jego jakość estetyczna</w:t>
            </w:r>
          </w:p>
          <w:p>
            <w:pPr>
              <w:pStyle w:val="Normal"/>
              <w:tabs>
                <w:tab w:val="clear" w:pos="720"/>
                <w:tab w:val="center" w:pos="4536" w:leader="none"/>
                <w:tab w:val="right" w:pos="9072" w:leader="none"/>
              </w:tabs>
              <w:jc w:val="both"/>
              <w:rPr>
                <w:rFonts w:ascii="Arial" w:hAnsi="Arial" w:eastAsia="Arial" w:cs="Arial"/>
                <w:sz w:val="20"/>
                <w:szCs w:val="20"/>
              </w:rPr>
            </w:pPr>
            <w:r>
              <w:rPr>
                <w:rFonts w:eastAsia="Arial" w:cs="Arial" w:ascii="Arial" w:hAnsi="Arial"/>
                <w:sz w:val="20"/>
                <w:szCs w:val="20"/>
              </w:rPr>
              <w:t>- intonacja</w:t>
            </w:r>
          </w:p>
          <w:p>
            <w:pPr>
              <w:pStyle w:val="Normal"/>
              <w:tabs>
                <w:tab w:val="clear" w:pos="720"/>
                <w:tab w:val="center" w:pos="4536" w:leader="none"/>
                <w:tab w:val="right" w:pos="9072" w:leader="none"/>
              </w:tabs>
              <w:jc w:val="both"/>
              <w:rPr>
                <w:rFonts w:ascii="Arial" w:hAnsi="Arial" w:eastAsia="Arial" w:cs="Arial"/>
              </w:rPr>
            </w:pPr>
            <w:r>
              <w:rPr>
                <w:rFonts w:eastAsia="Arial" w:cs="Arial" w:ascii="Arial" w:hAnsi="Arial"/>
              </w:rPr>
            </w:r>
          </w:p>
          <w:p>
            <w:pPr>
              <w:pStyle w:val="Normal"/>
              <w:tabs>
                <w:tab w:val="clear" w:pos="720"/>
                <w:tab w:val="center" w:pos="4536" w:leader="none"/>
                <w:tab w:val="right" w:pos="9072" w:leader="none"/>
              </w:tabs>
              <w:jc w:val="both"/>
              <w:rPr>
                <w:rFonts w:ascii="Arial" w:hAnsi="Arial" w:eastAsia="Arial" w:cs="Arial"/>
              </w:rPr>
            </w:pPr>
            <w:r>
              <w:rPr>
                <w:rFonts w:eastAsia="Arial" w:cs="Arial" w:ascii="Arial" w:hAnsi="Arial"/>
              </w:rPr>
            </w:r>
          </w:p>
        </w:tc>
      </w:tr>
      <w:tr>
        <w:trPr/>
        <w:tc>
          <w:tcPr>
            <w:tcW w:w="9075" w:type="dxa"/>
            <w:gridSpan w:val="10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hd w:val="clear" w:fill="FFFFFF"/>
              <w:ind w:right="240"/>
              <w:jc w:val="both"/>
              <w:rPr>
                <w:rFonts w:ascii="Arial" w:hAnsi="Arial" w:eastAsia="Arial" w:cs="Arial"/>
                <w:color w:val="000000"/>
              </w:rPr>
            </w:pPr>
            <w:r>
              <w:rPr>
                <w:rFonts w:eastAsia="Arial" w:cs="Arial" w:ascii="Arial" w:hAnsi="Arial"/>
                <w:color w:val="000000"/>
              </w:rPr>
            </w:r>
          </w:p>
          <w:p>
            <w:pPr>
              <w:pStyle w:val="Normal"/>
              <w:shd w:val="clear" w:fill="FFFFFF"/>
              <w:ind w:right="240"/>
              <w:jc w:val="center"/>
              <w:rPr>
                <w:rFonts w:ascii="Arial" w:hAnsi="Arial" w:eastAsia="Arial" w:cs="Arial"/>
                <w:b/>
                <w:color w:val="000000"/>
              </w:rPr>
            </w:pPr>
            <w:r>
              <w:rPr>
                <w:rFonts w:eastAsia="Arial" w:cs="Arial" w:ascii="Arial" w:hAnsi="Arial"/>
                <w:b/>
                <w:color w:val="000000"/>
              </w:rPr>
              <w:t>LITERATURA</w:t>
            </w:r>
          </w:p>
          <w:p>
            <w:pPr>
              <w:pStyle w:val="Normal"/>
              <w:shd w:val="clear" w:fill="FFFFFF"/>
              <w:ind w:right="240"/>
              <w:jc w:val="both"/>
              <w:rPr>
                <w:rFonts w:ascii="Arial" w:hAnsi="Arial" w:eastAsia="Arial" w:cs="Arial"/>
                <w:color w:val="000000"/>
              </w:rPr>
            </w:pPr>
            <w:r>
              <w:rPr>
                <w:rFonts w:eastAsia="Arial" w:cs="Arial" w:ascii="Arial" w:hAnsi="Arial"/>
                <w:color w:val="000000"/>
              </w:rPr>
            </w:r>
          </w:p>
        </w:tc>
      </w:tr>
      <w:tr>
        <w:trPr/>
        <w:tc>
          <w:tcPr>
            <w:tcW w:w="9075" w:type="dxa"/>
            <w:gridSpan w:val="10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rPr>
                <w:rFonts w:ascii="Arial" w:hAnsi="Arial" w:eastAsia="Arial" w:cs="Arial"/>
                <w:color w:val="000000"/>
                <w:sz w:val="20"/>
                <w:szCs w:val="20"/>
              </w:rPr>
            </w:pPr>
            <w:r>
              <w:rPr>
                <w:rFonts w:eastAsia="Arial" w:cs="Arial" w:ascii="Arial" w:hAnsi="Arial"/>
                <w:color w:val="000000"/>
                <w:sz w:val="20"/>
                <w:szCs w:val="20"/>
              </w:rPr>
            </w:r>
          </w:p>
          <w:p>
            <w:pPr>
              <w:pStyle w:val="Normal"/>
              <w:rPr>
                <w:rFonts w:ascii="Arial" w:hAnsi="Arial" w:eastAsia="Arial" w:cs="Arial"/>
                <w:b/>
                <w:sz w:val="20"/>
                <w:szCs w:val="20"/>
              </w:rPr>
            </w:pPr>
            <w:r>
              <w:rPr>
                <w:rFonts w:eastAsia="Arial" w:cs="Arial" w:ascii="Arial" w:hAnsi="Arial"/>
                <w:b/>
                <w:sz w:val="20"/>
                <w:szCs w:val="20"/>
              </w:rPr>
              <w:t>Literatura (piśmiennictwo)</w:t>
            </w:r>
          </w:p>
          <w:p>
            <w:pPr>
              <w:pStyle w:val="Normal"/>
              <w:rPr>
                <w:rFonts w:ascii="Arial" w:hAnsi="Arial" w:eastAsia="Arial" w:cs="Arial"/>
                <w:sz w:val="20"/>
                <w:szCs w:val="20"/>
              </w:rPr>
            </w:pPr>
            <w:r>
              <w:rPr>
                <w:rFonts w:eastAsia="Arial" w:cs="Arial" w:ascii="Arial" w:hAnsi="Arial"/>
                <w:sz w:val="20"/>
                <w:szCs w:val="20"/>
              </w:rPr>
            </w:r>
          </w:p>
          <w:p>
            <w:pPr>
              <w:pStyle w:val="Normal"/>
              <w:rPr>
                <w:rFonts w:ascii="Arial" w:hAnsi="Arial" w:eastAsia="Arial" w:cs="Arial"/>
                <w:sz w:val="20"/>
                <w:szCs w:val="20"/>
              </w:rPr>
            </w:pPr>
            <w:r>
              <w:rPr>
                <w:rFonts w:eastAsia="Arial" w:cs="Arial" w:ascii="Arial" w:hAnsi="Arial"/>
                <w:sz w:val="20"/>
                <w:szCs w:val="20"/>
              </w:rPr>
              <w:t>Historia instrumentów muzycznych / Curt Sachs ; przeł. Stanisław Olędzki. - Wyd. 2. -Kraków : Polskie Wydawnictwo Muzyczne, 1989.</w:t>
            </w:r>
          </w:p>
          <w:p>
            <w:pPr>
              <w:pStyle w:val="Normal"/>
              <w:rPr>
                <w:rFonts w:ascii="Arial" w:hAnsi="Arial" w:eastAsia="Arial" w:cs="Arial"/>
                <w:sz w:val="20"/>
                <w:szCs w:val="20"/>
              </w:rPr>
            </w:pPr>
            <w:r>
              <w:rPr>
                <w:rFonts w:eastAsia="Arial" w:cs="Arial" w:ascii="Arial" w:hAnsi="Arial"/>
                <w:sz w:val="20"/>
                <w:szCs w:val="20"/>
              </w:rPr>
            </w:r>
          </w:p>
          <w:p>
            <w:pPr>
              <w:pStyle w:val="Normal"/>
              <w:rPr>
                <w:rFonts w:ascii="Arial" w:hAnsi="Arial" w:eastAsia="Arial" w:cs="Arial"/>
                <w:sz w:val="20"/>
                <w:szCs w:val="20"/>
              </w:rPr>
            </w:pPr>
            <w:r>
              <w:rPr>
                <w:rFonts w:eastAsia="Arial" w:cs="Arial" w:ascii="Arial" w:hAnsi="Arial"/>
                <w:sz w:val="20"/>
                <w:szCs w:val="20"/>
              </w:rPr>
              <w:t>Musical excellence : strategies and techniques to enhance performance / edited by Aaron Williamon. - Repr. - Oxford : Oxford University Press, 2011.</w:t>
            </w:r>
          </w:p>
          <w:p>
            <w:pPr>
              <w:pStyle w:val="Normal"/>
              <w:rPr>
                <w:rFonts w:ascii="Arial" w:hAnsi="Arial" w:eastAsia="Arial" w:cs="Arial"/>
                <w:sz w:val="20"/>
                <w:szCs w:val="20"/>
              </w:rPr>
            </w:pPr>
            <w:r>
              <w:rPr>
                <w:rFonts w:eastAsia="Arial" w:cs="Arial" w:ascii="Arial" w:hAnsi="Arial"/>
                <w:sz w:val="20"/>
                <w:szCs w:val="20"/>
              </w:rPr>
            </w:r>
          </w:p>
          <w:p>
            <w:pPr>
              <w:pStyle w:val="Normal"/>
              <w:rPr>
                <w:rFonts w:ascii="Arial" w:hAnsi="Arial" w:eastAsia="Arial" w:cs="Arial"/>
                <w:sz w:val="20"/>
                <w:szCs w:val="20"/>
              </w:rPr>
            </w:pPr>
            <w:r>
              <w:rPr>
                <w:rFonts w:eastAsia="Arial" w:cs="Arial" w:ascii="Arial" w:hAnsi="Arial"/>
                <w:sz w:val="20"/>
                <w:szCs w:val="20"/>
              </w:rPr>
              <w:t>Musical performance : a guide to understanding / edited by John Rink. - 8th print.-Cambridge Cambridge University Press, 2011.</w:t>
            </w:r>
          </w:p>
          <w:p>
            <w:pPr>
              <w:pStyle w:val="Normal"/>
              <w:rPr>
                <w:rFonts w:ascii="Arial" w:hAnsi="Arial" w:eastAsia="Arial" w:cs="Arial"/>
                <w:sz w:val="20"/>
                <w:szCs w:val="20"/>
              </w:rPr>
            </w:pPr>
            <w:r>
              <w:rPr>
                <w:rFonts w:eastAsia="Arial" w:cs="Arial" w:ascii="Arial" w:hAnsi="Arial"/>
                <w:sz w:val="20"/>
                <w:szCs w:val="20"/>
              </w:rPr>
            </w:r>
          </w:p>
          <w:p>
            <w:pPr>
              <w:pStyle w:val="Normal"/>
              <w:rPr>
                <w:rFonts w:ascii="Arial" w:hAnsi="Arial" w:eastAsia="Arial" w:cs="Arial"/>
                <w:sz w:val="20"/>
                <w:szCs w:val="20"/>
              </w:rPr>
            </w:pPr>
            <w:r>
              <w:rPr>
                <w:rFonts w:eastAsia="Arial" w:cs="Arial" w:ascii="Arial" w:hAnsi="Arial"/>
                <w:sz w:val="20"/>
                <w:szCs w:val="20"/>
              </w:rPr>
              <w:t>Die Musik in Geschichte und Gegenwart : allgemeine Enzyklopaedie der Musik: Sachteil.Bd. 1-9 / begr. von Friedrich Blume ; hrsg. von Ludwig Finscher. - 2.,neubearb. Ausg. - 1994. – hasła encyklopedyczne poświęcone poszczególnym instrumentom smyczkowym</w:t>
            </w:r>
          </w:p>
          <w:p>
            <w:pPr>
              <w:pStyle w:val="Normal"/>
              <w:rPr>
                <w:rFonts w:ascii="Arial" w:hAnsi="Arial" w:eastAsia="Arial" w:cs="Arial"/>
                <w:sz w:val="20"/>
                <w:szCs w:val="20"/>
              </w:rPr>
            </w:pPr>
            <w:r>
              <w:rPr>
                <w:rFonts w:eastAsia="Arial" w:cs="Arial" w:ascii="Arial" w:hAnsi="Arial"/>
                <w:sz w:val="20"/>
                <w:szCs w:val="20"/>
              </w:rPr>
            </w:r>
          </w:p>
          <w:p>
            <w:pPr>
              <w:pStyle w:val="Normal"/>
              <w:rPr>
                <w:rFonts w:ascii="Arial" w:hAnsi="Arial" w:eastAsia="Arial" w:cs="Arial"/>
                <w:sz w:val="20"/>
                <w:szCs w:val="20"/>
              </w:rPr>
            </w:pPr>
            <w:r>
              <w:rPr>
                <w:rFonts w:eastAsia="Arial" w:cs="Arial" w:ascii="Arial" w:hAnsi="Arial"/>
                <w:sz w:val="20"/>
                <w:szCs w:val="20"/>
              </w:rPr>
              <w:t>Das Orchester : Zeitschrift fur deutsche Orchesterkultur und Rundfunk-Chorwesen / Organer Deutschen Orchestervereinigung. - Mainz : Verlag Das Orchester, 1953- czasopismo.</w:t>
            </w:r>
          </w:p>
          <w:p>
            <w:pPr>
              <w:pStyle w:val="Normal"/>
              <w:rPr>
                <w:rFonts w:ascii="Arial" w:hAnsi="Arial" w:eastAsia="Arial" w:cs="Arial"/>
                <w:sz w:val="20"/>
                <w:szCs w:val="20"/>
              </w:rPr>
            </w:pPr>
            <w:r>
              <w:rPr>
                <w:rFonts w:eastAsia="Arial" w:cs="Arial" w:ascii="Arial" w:hAnsi="Arial"/>
                <w:sz w:val="20"/>
                <w:szCs w:val="20"/>
              </w:rPr>
            </w:r>
          </w:p>
          <w:p>
            <w:pPr>
              <w:pStyle w:val="Normal"/>
              <w:rPr>
                <w:rFonts w:ascii="Arial" w:hAnsi="Arial" w:eastAsia="Arial" w:cs="Arial"/>
                <w:sz w:val="20"/>
                <w:szCs w:val="20"/>
              </w:rPr>
            </w:pPr>
            <w:r>
              <w:rPr>
                <w:rFonts w:eastAsia="Arial" w:cs="Arial" w:ascii="Arial" w:hAnsi="Arial"/>
                <w:sz w:val="20"/>
                <w:szCs w:val="20"/>
              </w:rPr>
              <w:t>The New Grove dictionary of music and musicians / ed. by Stanley Sadie. London : Macmillan, 1993. - hasła encyklopedyczne poświęcone poszczególnym instrumentom smyczkowym</w:t>
            </w:r>
          </w:p>
          <w:p>
            <w:pPr>
              <w:pStyle w:val="Normal"/>
              <w:rPr>
                <w:rFonts w:ascii="Arial" w:hAnsi="Arial" w:eastAsia="Arial" w:cs="Arial"/>
                <w:sz w:val="20"/>
                <w:szCs w:val="20"/>
              </w:rPr>
            </w:pPr>
            <w:r>
              <w:rPr>
                <w:rFonts w:eastAsia="Arial" w:cs="Arial" w:ascii="Arial" w:hAnsi="Arial"/>
                <w:sz w:val="20"/>
                <w:szCs w:val="20"/>
              </w:rPr>
            </w:r>
          </w:p>
          <w:p>
            <w:pPr>
              <w:pStyle w:val="Normal"/>
              <w:rPr>
                <w:rFonts w:ascii="Arial" w:hAnsi="Arial" w:eastAsia="Arial" w:cs="Arial"/>
                <w:sz w:val="20"/>
                <w:szCs w:val="20"/>
              </w:rPr>
            </w:pPr>
            <w:r>
              <w:rPr>
                <w:rFonts w:eastAsia="Arial" w:cs="Arial" w:ascii="Arial" w:hAnsi="Arial"/>
                <w:sz w:val="20"/>
                <w:szCs w:val="20"/>
              </w:rPr>
              <w:t>Problemy wykonawcze muzyki współczesnej / red. nauk. Irena Marciniak. - Zielona Góra WSP im. Tadeusza Kotarbińskiego, 1998.</w:t>
            </w:r>
          </w:p>
          <w:p>
            <w:pPr>
              <w:pStyle w:val="Normal"/>
              <w:rPr>
                <w:rFonts w:ascii="Arial" w:hAnsi="Arial" w:eastAsia="Arial" w:cs="Arial"/>
                <w:sz w:val="20"/>
                <w:szCs w:val="20"/>
              </w:rPr>
            </w:pPr>
            <w:r>
              <w:rPr>
                <w:rFonts w:eastAsia="Arial" w:cs="Arial" w:ascii="Arial" w:hAnsi="Arial"/>
                <w:sz w:val="20"/>
                <w:szCs w:val="20"/>
              </w:rPr>
            </w:r>
          </w:p>
          <w:p>
            <w:pPr>
              <w:pStyle w:val="Normal"/>
              <w:rPr>
                <w:rFonts w:ascii="Arial" w:hAnsi="Arial" w:eastAsia="Arial" w:cs="Arial"/>
                <w:sz w:val="20"/>
                <w:szCs w:val="20"/>
              </w:rPr>
            </w:pPr>
            <w:r>
              <w:rPr>
                <w:rFonts w:eastAsia="Arial" w:cs="Arial" w:ascii="Arial" w:hAnsi="Arial"/>
                <w:sz w:val="20"/>
                <w:szCs w:val="20"/>
              </w:rPr>
              <w:t>Przewodnik po muzyce kameralnej / Danuta Gwizdalanka. - Wyd.2. - Kraków : Polskie Wydawnictwo Muzyczne, 1998.</w:t>
            </w:r>
          </w:p>
          <w:p>
            <w:pPr>
              <w:pStyle w:val="Normal"/>
              <w:rPr>
                <w:rFonts w:ascii="Arial" w:hAnsi="Arial" w:eastAsia="Arial" w:cs="Arial"/>
                <w:sz w:val="20"/>
                <w:szCs w:val="20"/>
              </w:rPr>
            </w:pPr>
            <w:r>
              <w:rPr>
                <w:rFonts w:eastAsia="Arial" w:cs="Arial" w:ascii="Arial" w:hAnsi="Arial"/>
                <w:sz w:val="20"/>
                <w:szCs w:val="20"/>
              </w:rPr>
            </w:r>
          </w:p>
          <w:p>
            <w:pPr>
              <w:pStyle w:val="Normal"/>
              <w:rPr>
                <w:rFonts w:ascii="Arial" w:hAnsi="Arial" w:eastAsia="Arial" w:cs="Arial"/>
                <w:sz w:val="20"/>
                <w:szCs w:val="20"/>
              </w:rPr>
            </w:pPr>
            <w:r>
              <w:rPr>
                <w:rFonts w:eastAsia="Arial" w:cs="Arial" w:ascii="Arial" w:hAnsi="Arial"/>
                <w:sz w:val="20"/>
                <w:szCs w:val="20"/>
              </w:rPr>
              <w:t>Strategies for teaching strings: building a successful string and orchestra program / Donald L. Hamann, Robert Gillespie. Hamann, Donald L. Wyd. 2 popr. New York : Oxford University Press, 2009.</w:t>
            </w:r>
          </w:p>
          <w:p>
            <w:pPr>
              <w:pStyle w:val="Normal"/>
              <w:rPr>
                <w:rFonts w:ascii="Arial" w:hAnsi="Arial" w:eastAsia="Arial" w:cs="Arial"/>
                <w:sz w:val="20"/>
                <w:szCs w:val="20"/>
              </w:rPr>
            </w:pPr>
            <w:r>
              <w:rPr>
                <w:rFonts w:eastAsia="Arial" w:cs="Arial" w:ascii="Arial" w:hAnsi="Arial"/>
                <w:sz w:val="20"/>
                <w:szCs w:val="20"/>
              </w:rPr>
            </w:r>
          </w:p>
          <w:p>
            <w:pPr>
              <w:pStyle w:val="Normal"/>
              <w:rPr>
                <w:rFonts w:ascii="Arial" w:hAnsi="Arial" w:eastAsia="Arial" w:cs="Arial"/>
                <w:sz w:val="20"/>
                <w:szCs w:val="20"/>
              </w:rPr>
            </w:pPr>
            <w:r>
              <w:rPr>
                <w:rFonts w:eastAsia="Arial" w:cs="Arial" w:ascii="Arial" w:hAnsi="Arial"/>
                <w:sz w:val="20"/>
                <w:szCs w:val="20"/>
              </w:rPr>
              <w:t>Mechanik und Ästhetik des Violoncellspiels / von Hugo Becker und Dago Rynar. - 2. Aufl. - Wien : Universal Edition, cop. 1971.</w:t>
            </w:r>
          </w:p>
          <w:p>
            <w:pPr>
              <w:pStyle w:val="Normal"/>
              <w:rPr>
                <w:rFonts w:ascii="Arial" w:hAnsi="Arial" w:eastAsia="Arial" w:cs="Arial"/>
                <w:sz w:val="20"/>
                <w:szCs w:val="20"/>
              </w:rPr>
            </w:pPr>
            <w:r>
              <w:rPr>
                <w:rFonts w:eastAsia="Arial" w:cs="Arial" w:ascii="Arial" w:hAnsi="Arial"/>
                <w:sz w:val="20"/>
                <w:szCs w:val="20"/>
              </w:rPr>
            </w:r>
          </w:p>
          <w:p>
            <w:pPr>
              <w:pStyle w:val="Normal"/>
              <w:rPr>
                <w:rFonts w:ascii="Arial" w:hAnsi="Arial" w:eastAsia="Arial" w:cs="Arial"/>
                <w:sz w:val="20"/>
                <w:szCs w:val="20"/>
              </w:rPr>
            </w:pPr>
            <w:r>
              <w:rPr>
                <w:rFonts w:eastAsia="Arial" w:cs="Arial" w:ascii="Arial" w:hAnsi="Arial"/>
                <w:sz w:val="20"/>
                <w:szCs w:val="20"/>
              </w:rPr>
              <w:t>Nurt mimetyczny w literaturze wiolonczelowej : w kontekście historii, budowy instrumentu, ikonografii oraz wykonawstwa wiolonczelowego / Urszula Mizia. - Katowice : Uniwersytet Śląski, 2012.</w:t>
            </w:r>
          </w:p>
          <w:p>
            <w:pPr>
              <w:pStyle w:val="Normal"/>
              <w:rPr>
                <w:rFonts w:ascii="Arial" w:hAnsi="Arial" w:eastAsia="Arial" w:cs="Arial"/>
                <w:sz w:val="20"/>
                <w:szCs w:val="20"/>
              </w:rPr>
            </w:pPr>
            <w:r>
              <w:rPr>
                <w:rFonts w:eastAsia="Arial" w:cs="Arial" w:ascii="Arial" w:hAnsi="Arial"/>
                <w:sz w:val="20"/>
                <w:szCs w:val="20"/>
              </w:rPr>
            </w:r>
          </w:p>
          <w:p>
            <w:pPr>
              <w:pStyle w:val="Normal"/>
              <w:rPr>
                <w:rFonts w:ascii="Arial" w:hAnsi="Arial" w:eastAsia="Arial" w:cs="Arial"/>
                <w:sz w:val="20"/>
                <w:szCs w:val="20"/>
              </w:rPr>
            </w:pPr>
            <w:r>
              <w:rPr>
                <w:rFonts w:eastAsia="Arial" w:cs="Arial" w:ascii="Arial" w:hAnsi="Arial"/>
                <w:sz w:val="20"/>
                <w:szCs w:val="20"/>
              </w:rPr>
              <w:t>Specyfika wiolonczeli w kwartetach smyczkowych Henryka Mikołaja Góreckiego i twórcach muzyki kameralnej jego pokolenia / Piotr Janosik. - Katowice : Akademia Muzyczna im. Karola Szymanowskiego w Katowicach, 2011.</w:t>
            </w:r>
          </w:p>
          <w:p>
            <w:pPr>
              <w:pStyle w:val="Normal"/>
              <w:rPr>
                <w:rFonts w:ascii="Arial" w:hAnsi="Arial" w:eastAsia="Arial" w:cs="Arial"/>
                <w:sz w:val="20"/>
                <w:szCs w:val="20"/>
              </w:rPr>
            </w:pPr>
            <w:r>
              <w:rPr>
                <w:rFonts w:eastAsia="Arial" w:cs="Arial" w:ascii="Arial" w:hAnsi="Arial"/>
                <w:sz w:val="20"/>
                <w:szCs w:val="20"/>
              </w:rPr>
            </w:r>
          </w:p>
          <w:p>
            <w:pPr>
              <w:pStyle w:val="Normal"/>
              <w:rPr>
                <w:rFonts w:ascii="Arial" w:hAnsi="Arial" w:eastAsia="Arial" w:cs="Arial"/>
                <w:sz w:val="20"/>
                <w:szCs w:val="20"/>
              </w:rPr>
            </w:pPr>
            <w:r>
              <w:rPr>
                <w:rFonts w:eastAsia="Arial" w:cs="Arial" w:ascii="Arial" w:hAnsi="Arial"/>
                <w:sz w:val="20"/>
                <w:szCs w:val="20"/>
              </w:rPr>
              <w:t>Studium o wiolonczeli / Dimitrie Gh. Dinicu ; [tł. z jęz. rum. Fryderyka Wayda]. - Kraków : Polskie Wydaw. Muzyczne, 1966.</w:t>
            </w:r>
          </w:p>
          <w:p>
            <w:pPr>
              <w:pStyle w:val="Normal"/>
              <w:rPr>
                <w:rFonts w:ascii="Arial" w:hAnsi="Arial" w:eastAsia="Arial" w:cs="Arial"/>
                <w:sz w:val="20"/>
                <w:szCs w:val="20"/>
              </w:rPr>
            </w:pPr>
            <w:r>
              <w:rPr>
                <w:rFonts w:eastAsia="Arial" w:cs="Arial" w:ascii="Arial" w:hAnsi="Arial"/>
                <w:sz w:val="20"/>
                <w:szCs w:val="20"/>
              </w:rPr>
            </w:r>
          </w:p>
          <w:p>
            <w:pPr>
              <w:pStyle w:val="Normal"/>
              <w:rPr>
                <w:rFonts w:ascii="Arial" w:hAnsi="Arial" w:eastAsia="Arial" w:cs="Arial"/>
                <w:sz w:val="20"/>
                <w:szCs w:val="20"/>
              </w:rPr>
            </w:pPr>
            <w:r>
              <w:rPr>
                <w:rFonts w:eastAsia="Arial" w:cs="Arial" w:ascii="Arial" w:hAnsi="Arial"/>
                <w:sz w:val="20"/>
                <w:szCs w:val="20"/>
              </w:rPr>
              <w:t>Technika wiolonczelowa a zagadnienia wykonawstwa / Kazimierz Wiłkomirski. - Kraków : Polskie Wydaw. Muzyczne, 1965.</w:t>
            </w:r>
          </w:p>
          <w:p>
            <w:pPr>
              <w:pStyle w:val="Normal"/>
              <w:rPr>
                <w:rFonts w:ascii="Arial" w:hAnsi="Arial" w:eastAsia="Arial" w:cs="Arial"/>
                <w:sz w:val="20"/>
                <w:szCs w:val="20"/>
              </w:rPr>
            </w:pPr>
            <w:r>
              <w:rPr>
                <w:rFonts w:eastAsia="Arial" w:cs="Arial" w:ascii="Arial" w:hAnsi="Arial"/>
                <w:sz w:val="20"/>
                <w:szCs w:val="20"/>
              </w:rPr>
            </w:r>
          </w:p>
          <w:p>
            <w:pPr>
              <w:pStyle w:val="Normal"/>
              <w:rPr>
                <w:rFonts w:ascii="Arial" w:hAnsi="Arial" w:eastAsia="Arial" w:cs="Arial"/>
                <w:sz w:val="20"/>
                <w:szCs w:val="20"/>
              </w:rPr>
            </w:pPr>
            <w:r>
              <w:rPr>
                <w:rFonts w:eastAsia="Arial" w:cs="Arial" w:ascii="Arial" w:hAnsi="Arial"/>
                <w:sz w:val="20"/>
                <w:szCs w:val="20"/>
              </w:rPr>
              <w:t>Das Violoncell und seine Geschichte [reprint] / Wilh. Jos. v. Wasielewski ; dritte, vermehrte Aufl. Von Waldemar von Wasielewski. - 3., vermehrte Aufl. - Wiesbaden : Dr. Martin Saendig oHG, 1968.</w:t>
            </w:r>
          </w:p>
          <w:p>
            <w:pPr>
              <w:pStyle w:val="Normal"/>
              <w:rPr>
                <w:rFonts w:ascii="Arial" w:hAnsi="Arial" w:eastAsia="Arial" w:cs="Arial"/>
                <w:sz w:val="20"/>
                <w:szCs w:val="20"/>
              </w:rPr>
            </w:pPr>
            <w:r>
              <w:rPr>
                <w:rFonts w:eastAsia="Arial" w:cs="Arial" w:ascii="Arial" w:hAnsi="Arial"/>
                <w:sz w:val="20"/>
                <w:szCs w:val="20"/>
              </w:rPr>
            </w:r>
          </w:p>
          <w:p>
            <w:pPr>
              <w:pStyle w:val="Normal"/>
              <w:rPr>
                <w:rFonts w:ascii="Arial" w:hAnsi="Arial" w:eastAsia="Arial" w:cs="Arial"/>
                <w:sz w:val="20"/>
                <w:szCs w:val="20"/>
              </w:rPr>
            </w:pPr>
            <w:r>
              <w:rPr>
                <w:rFonts w:eastAsia="Arial" w:cs="Arial" w:ascii="Arial" w:hAnsi="Arial"/>
                <w:sz w:val="20"/>
                <w:szCs w:val="20"/>
              </w:rPr>
              <w:t>Wiolonczela od A do Z / Roman Suchecki. - Kraków : Polskie Wydaw. Muzyczne, 1982.</w:t>
            </w:r>
          </w:p>
          <w:p>
            <w:pPr>
              <w:pStyle w:val="Normal"/>
              <w:rPr>
                <w:rFonts w:ascii="Arial" w:hAnsi="Arial" w:eastAsia="Arial" w:cs="Arial"/>
                <w:sz w:val="20"/>
                <w:szCs w:val="20"/>
              </w:rPr>
            </w:pPr>
            <w:r>
              <w:rPr>
                <w:rFonts w:eastAsia="Arial" w:cs="Arial" w:ascii="Arial" w:hAnsi="Arial"/>
                <w:sz w:val="20"/>
                <w:szCs w:val="20"/>
              </w:rPr>
            </w:r>
          </w:p>
          <w:p>
            <w:pPr>
              <w:pStyle w:val="Normal"/>
              <w:rPr>
                <w:rFonts w:ascii="Arial" w:hAnsi="Arial" w:eastAsia="Arial" w:cs="Arial"/>
                <w:sz w:val="20"/>
                <w:szCs w:val="20"/>
              </w:rPr>
            </w:pPr>
            <w:r>
              <w:rPr>
                <w:rFonts w:eastAsia="Arial" w:cs="Arial" w:ascii="Arial" w:hAnsi="Arial"/>
                <w:sz w:val="20"/>
                <w:szCs w:val="20"/>
              </w:rPr>
              <w:t>Współczesna technika gry na wiolonczeli / Maurice Eisenberg ; [tł. z jęz. ang. Marta Hoffman-Wodnicka]. Kraków : Polskie Wydawnictwo Muzyczne, 1981</w:t>
            </w:r>
          </w:p>
          <w:p>
            <w:pPr>
              <w:pStyle w:val="Normal"/>
              <w:rPr>
                <w:rFonts w:ascii="Arial" w:hAnsi="Arial" w:eastAsia="Arial" w:cs="Arial"/>
                <w:sz w:val="20"/>
                <w:szCs w:val="20"/>
              </w:rPr>
            </w:pPr>
            <w:r>
              <w:rPr>
                <w:rFonts w:eastAsia="Arial" w:cs="Arial" w:ascii="Arial" w:hAnsi="Arial"/>
                <w:sz w:val="20"/>
                <w:szCs w:val="20"/>
              </w:rPr>
            </w:r>
          </w:p>
          <w:p>
            <w:pPr>
              <w:pStyle w:val="Normal"/>
              <w:rPr>
                <w:rFonts w:ascii="Arial" w:hAnsi="Arial" w:eastAsia="Arial" w:cs="Arial"/>
                <w:sz w:val="20"/>
                <w:szCs w:val="20"/>
              </w:rPr>
            </w:pPr>
            <w:r>
              <w:rPr>
                <w:rFonts w:eastAsia="Arial" w:cs="Arial" w:ascii="Arial" w:hAnsi="Arial"/>
                <w:sz w:val="20"/>
                <w:szCs w:val="20"/>
              </w:rPr>
              <w:t>Das Violoncell und seine Geschichte [reprint] / Wilh. Jos. v. Wasielewski ; dritte, vermehrte Aufl. Von Waldemar von Wasielewski. - 3., vermehrte Aufl. - Wiesbaden : Dr. Martin Saendig oHG, 1968.</w:t>
            </w:r>
          </w:p>
          <w:p>
            <w:pPr>
              <w:pStyle w:val="Normal"/>
              <w:rPr>
                <w:rFonts w:ascii="Arial" w:hAnsi="Arial" w:eastAsia="Arial" w:cs="Arial"/>
                <w:sz w:val="20"/>
                <w:szCs w:val="20"/>
              </w:rPr>
            </w:pPr>
            <w:r>
              <w:rPr>
                <w:rFonts w:eastAsia="Arial" w:cs="Arial" w:ascii="Arial" w:hAnsi="Arial"/>
                <w:sz w:val="20"/>
                <w:szCs w:val="20"/>
              </w:rPr>
            </w:r>
          </w:p>
          <w:p>
            <w:pPr>
              <w:pStyle w:val="Normal"/>
              <w:rPr>
                <w:rFonts w:ascii="Arial" w:hAnsi="Arial" w:eastAsia="Arial" w:cs="Arial"/>
                <w:sz w:val="20"/>
                <w:szCs w:val="20"/>
              </w:rPr>
            </w:pPr>
            <w:r>
              <w:rPr>
                <w:rFonts w:eastAsia="Arial" w:cs="Arial" w:ascii="Arial" w:hAnsi="Arial"/>
                <w:sz w:val="20"/>
                <w:szCs w:val="20"/>
              </w:rPr>
              <w:t>Współczesna technika gry na wiolonczeli / Maurice Eisenberg ; [tł. z jęz. ang. Marta Hoffman-Wodnicka]. Kraków : Polskie Wydawnictwo Muzyczne, 1981.</w:t>
            </w:r>
          </w:p>
          <w:p>
            <w:pPr>
              <w:pStyle w:val="Normal"/>
              <w:rPr>
                <w:rFonts w:ascii="Arial" w:hAnsi="Arial" w:eastAsia="Arial" w:cs="Arial"/>
                <w:sz w:val="20"/>
                <w:szCs w:val="20"/>
              </w:rPr>
            </w:pPr>
            <w:r>
              <w:rPr>
                <w:rFonts w:eastAsia="Arial" w:cs="Arial" w:ascii="Arial" w:hAnsi="Arial"/>
                <w:sz w:val="20"/>
                <w:szCs w:val="20"/>
              </w:rPr>
            </w:r>
          </w:p>
        </w:tc>
      </w:tr>
      <w:tr>
        <w:trPr/>
        <w:tc>
          <w:tcPr>
            <w:tcW w:w="9075" w:type="dxa"/>
            <w:gridSpan w:val="10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hd w:val="clear" w:fill="FFFFFF"/>
              <w:ind w:right="240"/>
              <w:jc w:val="center"/>
              <w:rPr>
                <w:rFonts w:ascii="Arial" w:hAnsi="Arial" w:eastAsia="Arial" w:cs="Arial"/>
                <w:b/>
                <w:color w:val="000000"/>
                <w:sz w:val="20"/>
                <w:szCs w:val="20"/>
              </w:rPr>
            </w:pPr>
            <w:r>
              <w:rPr>
                <w:rFonts w:eastAsia="Arial" w:cs="Arial" w:ascii="Arial" w:hAnsi="Arial"/>
                <w:b/>
                <w:color w:val="000000"/>
                <w:sz w:val="20"/>
                <w:szCs w:val="20"/>
              </w:rPr>
              <w:t>Uwaga:</w:t>
            </w:r>
          </w:p>
          <w:p>
            <w:pPr>
              <w:pStyle w:val="Normal"/>
              <w:shd w:val="clear" w:fill="FFFFFF"/>
              <w:ind w:right="240"/>
              <w:jc w:val="center"/>
              <w:rPr>
                <w:rFonts w:ascii="Arial" w:hAnsi="Arial" w:eastAsia="Arial" w:cs="Arial"/>
                <w:color w:val="000000"/>
                <w:sz w:val="20"/>
                <w:szCs w:val="20"/>
              </w:rPr>
            </w:pPr>
            <w:r>
              <w:rPr>
                <w:rFonts w:eastAsia="Arial" w:cs="Arial" w:ascii="Arial" w:hAnsi="Arial"/>
                <w:b/>
                <w:color w:val="000000"/>
                <w:sz w:val="20"/>
                <w:szCs w:val="20"/>
              </w:rPr>
              <w:t>Prowadzący przedmiot może dokonywać zmian w sylabusie, nie naruszając jednak ogólnych założeń programu.</w:t>
            </w:r>
          </w:p>
        </w:tc>
      </w:tr>
      <w:tr>
        <w:trPr/>
        <w:tc>
          <w:tcPr>
            <w:tcW w:w="9075" w:type="dxa"/>
            <w:gridSpan w:val="10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hd w:val="clear" w:fill="FFFFFF"/>
              <w:ind w:right="240"/>
              <w:jc w:val="center"/>
              <w:rPr>
                <w:rFonts w:ascii="Arial" w:hAnsi="Arial" w:eastAsia="Arial" w:cs="Arial"/>
                <w:b/>
                <w:color w:val="000000"/>
                <w:sz w:val="20"/>
                <w:szCs w:val="20"/>
              </w:rPr>
            </w:pPr>
            <w:r>
              <w:rPr>
                <w:rFonts w:eastAsia="Arial" w:cs="Arial" w:ascii="Arial" w:hAnsi="Arial"/>
                <w:b/>
                <w:color w:val="000000"/>
                <w:sz w:val="20"/>
                <w:szCs w:val="20"/>
              </w:rPr>
            </w:r>
          </w:p>
          <w:p>
            <w:pPr>
              <w:pStyle w:val="Normal"/>
              <w:shd w:val="clear" w:fill="FFFFFF"/>
              <w:ind w:right="240"/>
              <w:jc w:val="center"/>
              <w:rPr>
                <w:rFonts w:ascii="Arial" w:hAnsi="Arial" w:eastAsia="Arial" w:cs="Arial"/>
                <w:b/>
                <w:color w:val="000000"/>
              </w:rPr>
            </w:pPr>
            <w:r>
              <w:rPr>
                <w:rFonts w:eastAsia="Arial" w:cs="Arial" w:ascii="Arial" w:hAnsi="Arial"/>
                <w:b/>
                <w:color w:val="000000"/>
              </w:rPr>
              <w:t>MODYFIKACJE SYLABUSA</w:t>
            </w:r>
          </w:p>
          <w:p>
            <w:pPr>
              <w:pStyle w:val="Normal"/>
              <w:shd w:val="clear" w:fill="FFFFFF"/>
              <w:ind w:right="240"/>
              <w:jc w:val="center"/>
              <w:rPr>
                <w:rFonts w:ascii="Arial" w:hAnsi="Arial" w:eastAsia="Arial" w:cs="Arial"/>
                <w:b/>
                <w:color w:val="000000"/>
                <w:sz w:val="20"/>
                <w:szCs w:val="20"/>
              </w:rPr>
            </w:pPr>
            <w:r>
              <w:rPr>
                <w:rFonts w:eastAsia="Arial" w:cs="Arial" w:ascii="Arial" w:hAnsi="Arial"/>
                <w:b/>
                <w:color w:val="000000"/>
                <w:sz w:val="20"/>
                <w:szCs w:val="20"/>
              </w:rPr>
            </w:r>
          </w:p>
        </w:tc>
      </w:tr>
      <w:tr>
        <w:trPr/>
        <w:tc>
          <w:tcPr>
            <w:tcW w:w="298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hd w:val="clear" w:fill="FFFFFF"/>
              <w:ind w:right="240"/>
              <w:jc w:val="center"/>
              <w:rPr>
                <w:rFonts w:ascii="Arial" w:hAnsi="Arial" w:eastAsia="Arial" w:cs="Arial"/>
                <w:b/>
                <w:color w:val="000000"/>
                <w:sz w:val="20"/>
                <w:szCs w:val="20"/>
              </w:rPr>
            </w:pPr>
            <w:r>
              <w:rPr>
                <w:rFonts w:eastAsia="Arial" w:cs="Arial" w:ascii="Arial" w:hAnsi="Arial"/>
                <w:b/>
                <w:color w:val="000000"/>
                <w:sz w:val="20"/>
                <w:szCs w:val="20"/>
              </w:rPr>
              <w:t>Data</w:t>
            </w:r>
          </w:p>
        </w:tc>
        <w:tc>
          <w:tcPr>
            <w:tcW w:w="3031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hd w:val="clear" w:fill="FFFFFF"/>
              <w:ind w:right="240"/>
              <w:jc w:val="center"/>
              <w:rPr>
                <w:rFonts w:ascii="Arial" w:hAnsi="Arial" w:eastAsia="Arial" w:cs="Arial"/>
                <w:b/>
                <w:color w:val="000000"/>
                <w:sz w:val="20"/>
                <w:szCs w:val="20"/>
              </w:rPr>
            </w:pPr>
            <w:r>
              <w:rPr>
                <w:rFonts w:eastAsia="Arial" w:cs="Arial" w:ascii="Arial" w:hAnsi="Arial"/>
                <w:b/>
                <w:color w:val="000000"/>
                <w:sz w:val="20"/>
                <w:szCs w:val="20"/>
              </w:rPr>
              <w:t>Imię i nazwisko</w:t>
            </w:r>
          </w:p>
        </w:tc>
        <w:tc>
          <w:tcPr>
            <w:tcW w:w="306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hd w:val="clear" w:fill="FFFFFF"/>
              <w:ind w:right="240"/>
              <w:jc w:val="center"/>
              <w:rPr>
                <w:rFonts w:ascii="Arial" w:hAnsi="Arial" w:eastAsia="Arial" w:cs="Arial"/>
                <w:b/>
                <w:color w:val="000000"/>
                <w:sz w:val="20"/>
                <w:szCs w:val="20"/>
              </w:rPr>
            </w:pPr>
            <w:r>
              <w:rPr>
                <w:rFonts w:eastAsia="Arial" w:cs="Arial" w:ascii="Arial" w:hAnsi="Arial"/>
                <w:b/>
                <w:color w:val="000000"/>
                <w:sz w:val="20"/>
                <w:szCs w:val="20"/>
              </w:rPr>
              <w:t>Czego dotyczy modyfikacja</w:t>
            </w:r>
          </w:p>
        </w:tc>
      </w:tr>
      <w:tr>
        <w:trPr/>
        <w:tc>
          <w:tcPr>
            <w:tcW w:w="298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hd w:val="clear" w:fill="FFFFFF"/>
              <w:ind w:right="240"/>
              <w:jc w:val="center"/>
              <w:rPr>
                <w:rFonts w:ascii="Arial" w:hAnsi="Arial" w:eastAsia="Arial" w:cs="Arial"/>
                <w:color w:val="000000"/>
                <w:sz w:val="20"/>
                <w:szCs w:val="20"/>
              </w:rPr>
            </w:pPr>
            <w:r>
              <w:rPr>
                <w:rFonts w:eastAsia="Arial" w:cs="Arial" w:ascii="Arial" w:hAnsi="Arial"/>
                <w:sz w:val="20"/>
                <w:szCs w:val="20"/>
              </w:rPr>
              <w:t>2.06.2024 r.</w:t>
            </w:r>
          </w:p>
        </w:tc>
        <w:tc>
          <w:tcPr>
            <w:tcW w:w="3031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hd w:val="clear" w:fill="FFFFFF"/>
              <w:ind w:right="240"/>
              <w:jc w:val="center"/>
              <w:rPr>
                <w:rFonts w:ascii="Arial" w:hAnsi="Arial" w:eastAsia="Arial" w:cs="Arial"/>
                <w:color w:val="000000"/>
                <w:sz w:val="20"/>
                <w:szCs w:val="20"/>
              </w:rPr>
            </w:pPr>
            <w:r>
              <w:rPr>
                <w:rFonts w:eastAsia="Arial" w:cs="Arial" w:ascii="Arial" w:hAnsi="Arial"/>
                <w:sz w:val="20"/>
                <w:szCs w:val="20"/>
              </w:rPr>
              <w:t>Adam Jezierzański</w:t>
            </w:r>
          </w:p>
        </w:tc>
        <w:tc>
          <w:tcPr>
            <w:tcW w:w="306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hd w:val="clear" w:fill="FFFFFF"/>
              <w:ind w:right="240"/>
              <w:jc w:val="center"/>
              <w:rPr>
                <w:rFonts w:ascii="Arial" w:hAnsi="Arial" w:eastAsia="Arial" w:cs="Arial"/>
                <w:color w:val="000000"/>
                <w:sz w:val="20"/>
                <w:szCs w:val="20"/>
              </w:rPr>
            </w:pPr>
            <w:r>
              <w:rPr>
                <w:rFonts w:eastAsia="Arial" w:cs="Arial" w:ascii="Arial" w:hAnsi="Arial"/>
                <w:sz w:val="20"/>
                <w:szCs w:val="20"/>
              </w:rPr>
              <w:t>Forma graficzna                      i rozdzielenie Sylabusów przedmiotów</w:t>
            </w:r>
          </w:p>
        </w:tc>
      </w:tr>
    </w:tbl>
    <w:p>
      <w:pPr>
        <w:pStyle w:val="Normal"/>
        <w:rPr>
          <w:rFonts w:ascii="Arial" w:hAnsi="Arial" w:eastAsia="Arial" w:cs="Arial"/>
          <w:sz w:val="20"/>
          <w:szCs w:val="20"/>
        </w:rPr>
      </w:pPr>
      <w:r>
        <w:rPr>
          <w:rFonts w:eastAsia="Arial" w:cs="Arial" w:ascii="Arial" w:hAnsi="Arial"/>
          <w:sz w:val="20"/>
          <w:szCs w:val="20"/>
        </w:rPr>
      </w:r>
    </w:p>
    <w:p>
      <w:pPr>
        <w:pStyle w:val="Normal"/>
        <w:rPr>
          <w:sz w:val="16"/>
          <w:szCs w:val="16"/>
        </w:rPr>
      </w:pPr>
      <w:r>
        <w:rPr>
          <w:sz w:val="16"/>
          <w:szCs w:val="16"/>
        </w:rPr>
      </w:r>
    </w:p>
    <w:p>
      <w:pPr>
        <w:pStyle w:val="Normal"/>
        <w:rPr/>
      </w:pPr>
      <w:r>
        <w:rPr/>
      </w:r>
    </w:p>
    <w:sectPr>
      <w:type w:val="nextPage"/>
      <w:pgSz w:w="11906" w:h="16838"/>
      <w:pgMar w:left="1417" w:right="1417" w:gutter="0" w:header="0" w:top="1417" w:footer="0" w:bottom="1417"/>
      <w:pgNumType w:start="1" w:fmt="decimal"/>
      <w:formProt w:val="false"/>
      <w:textDirection w:val="lrTb"/>
      <w:docGrid w:type="default" w:linePitch="100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1"/>
    <w:family w:val="roman"/>
    <w:pitch w:val="variable"/>
  </w:font>
  <w:font w:name="Cambria">
    <w:charset w:val="01"/>
    <w:family w:val="roman"/>
    <w:pitch w:val="variable"/>
  </w:font>
  <w:font w:name="Liberation Sans">
    <w:altName w:val="Arial"/>
    <w:charset w:val="01"/>
    <w:family w:val="roman"/>
    <w:pitch w:val="variable"/>
  </w:font>
  <w:font w:name="Georgia">
    <w:charset w:val="01"/>
    <w:family w:val="roman"/>
    <w:pitch w:val="variable"/>
  </w:font>
  <w:font w:name="Arial">
    <w:charset w:val="01"/>
    <w:family w:val="roman"/>
    <w:pitch w:val="variable"/>
  </w:font>
</w:fonts>
</file>

<file path=word/settings.xml><?xml version="1.0" encoding="utf-8"?>
<w:settings xmlns:w="http://schemas.openxmlformats.org/wordprocessingml/2006/main">
  <w:zoom w:percent="75"/>
  <w:defaultTabStop w:val="720"/>
  <w:autoHyphenation w:val="true"/>
  <w:compat>
    <w:compatSetting w:name="compatibilityMode" w:uri="http://schemas.microsoft.com/office/word" w:val="12"/>
  </w:compat>
  <w:themeFontLang w:val="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mbria" w:hAnsi="Cambria" w:eastAsia="Cambria" w:cs="Cambria"/>
        <w:sz w:val="24"/>
        <w:szCs w:val="24"/>
        <w:lang w:val="pl-PL" w:eastAsia="zh-CN" w:bidi="hi-IN"/>
      </w:rPr>
    </w:rPrDefault>
    <w:pPrDefault>
      <w:pPr>
        <w:suppressAutoHyphens w:val="true"/>
      </w:pPr>
    </w:pPrDefault>
  </w:docDefaults>
  <w:style w:type="paragraph" w:styleId="Normal" w:default="1">
    <w:name w:val="Normal"/>
    <w:qFormat/>
    <w:rsid w:val="008709e9"/>
    <w:pPr>
      <w:widowControl/>
      <w:suppressAutoHyphens w:val="true"/>
      <w:bidi w:val="0"/>
      <w:spacing w:lineRule="auto" w:line="240" w:before="0" w:after="0"/>
      <w:jc w:val="left"/>
    </w:pPr>
    <w:rPr>
      <w:rFonts w:ascii="Cambria" w:hAnsi="Cambria" w:eastAsia="Cambria" w:cs="Times New Roman"/>
      <w:color w:val="auto"/>
      <w:kern w:val="0"/>
      <w:sz w:val="24"/>
      <w:szCs w:val="24"/>
      <w:lang w:val="pl-PL" w:eastAsia="zh-CN" w:bidi="hi-IN"/>
    </w:rPr>
  </w:style>
  <w:style w:type="paragraph" w:styleId="Heading1">
    <w:name w:val="Heading 1"/>
    <w:basedOn w:val="normal1"/>
    <w:next w:val="normal1"/>
    <w:qFormat/>
    <w:pPr>
      <w:keepNext w:val="true"/>
      <w:keepLines/>
      <w:pageBreakBefore w:val="false"/>
      <w:spacing w:lineRule="auto" w:line="240" w:before="480" w:after="120"/>
    </w:pPr>
    <w:rPr>
      <w:b/>
      <w:sz w:val="48"/>
      <w:szCs w:val="48"/>
    </w:rPr>
  </w:style>
  <w:style w:type="paragraph" w:styleId="Heading2">
    <w:name w:val="Heading 2"/>
    <w:basedOn w:val="normal1"/>
    <w:next w:val="normal1"/>
    <w:qFormat/>
    <w:pPr>
      <w:keepNext w:val="true"/>
      <w:keepLines/>
      <w:pageBreakBefore w:val="false"/>
      <w:spacing w:lineRule="auto" w:line="240" w:before="360" w:after="80"/>
    </w:pPr>
    <w:rPr>
      <w:b/>
      <w:sz w:val="36"/>
      <w:szCs w:val="36"/>
    </w:rPr>
  </w:style>
  <w:style w:type="paragraph" w:styleId="Heading3">
    <w:name w:val="Heading 3"/>
    <w:basedOn w:val="normal1"/>
    <w:next w:val="normal1"/>
    <w:qFormat/>
    <w:pPr>
      <w:keepNext w:val="true"/>
      <w:keepLines/>
      <w:pageBreakBefore w:val="false"/>
      <w:spacing w:lineRule="auto" w:line="240" w:before="280" w:after="80"/>
    </w:pPr>
    <w:rPr>
      <w:b/>
      <w:sz w:val="28"/>
      <w:szCs w:val="28"/>
    </w:rPr>
  </w:style>
  <w:style w:type="paragraph" w:styleId="Heading4">
    <w:name w:val="Heading 4"/>
    <w:basedOn w:val="normal1"/>
    <w:next w:val="normal1"/>
    <w:qFormat/>
    <w:pPr>
      <w:keepNext w:val="true"/>
      <w:keepLines/>
      <w:pageBreakBefore w:val="false"/>
      <w:spacing w:lineRule="auto" w:line="240" w:before="240" w:after="40"/>
    </w:pPr>
    <w:rPr>
      <w:b/>
      <w:sz w:val="24"/>
      <w:szCs w:val="24"/>
    </w:rPr>
  </w:style>
  <w:style w:type="paragraph" w:styleId="Heading5">
    <w:name w:val="Heading 5"/>
    <w:basedOn w:val="normal1"/>
    <w:next w:val="normal1"/>
    <w:qFormat/>
    <w:pPr>
      <w:keepNext w:val="true"/>
      <w:keepLines/>
      <w:pageBreakBefore w:val="false"/>
      <w:spacing w:lineRule="auto" w:line="240" w:before="220" w:after="40"/>
    </w:pPr>
    <w:rPr>
      <w:b/>
      <w:sz w:val="22"/>
      <w:szCs w:val="22"/>
    </w:rPr>
  </w:style>
  <w:style w:type="paragraph" w:styleId="Heading6">
    <w:name w:val="Heading 6"/>
    <w:basedOn w:val="normal1"/>
    <w:next w:val="normal1"/>
    <w:qFormat/>
    <w:pPr>
      <w:keepNext w:val="true"/>
      <w:keepLines/>
      <w:pageBreakBefore w:val="false"/>
      <w:spacing w:lineRule="auto" w:line="240" w:before="200" w:after="40"/>
    </w:pPr>
    <w:rPr>
      <w:b/>
      <w:sz w:val="20"/>
      <w:szCs w:val="20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paragraph" w:styleId="Nagwek">
    <w:name w:val="Nagłówek"/>
    <w:basedOn w:val="Normal"/>
    <w:next w:val="BodyText"/>
    <w:qFormat/>
    <w:pPr>
      <w:keepNext w:val="true"/>
      <w:spacing w:before="240" w:after="120"/>
    </w:pPr>
    <w:rPr>
      <w:rFonts w:ascii="Liberation Sans" w:hAnsi="Liberation Sans" w:eastAsia="PingFang SC" w:cs="Arial Unicode MS"/>
      <w:sz w:val="28"/>
      <w:szCs w:val="28"/>
    </w:rPr>
  </w:style>
  <w:style w:type="paragraph" w:styleId="BodyText">
    <w:name w:val="Body Text"/>
    <w:basedOn w:val="Normal"/>
    <w:pPr>
      <w:spacing w:lineRule="auto" w:line="276" w:before="0" w:after="140"/>
    </w:pPr>
    <w:rPr/>
  </w:style>
  <w:style w:type="paragraph" w:styleId="List">
    <w:name w:val="List"/>
    <w:basedOn w:val="BodyText"/>
    <w:pPr/>
    <w:rPr>
      <w:rFonts w:cs="Arial Unicode MS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Arial Unicode MS"/>
      <w:i/>
      <w:iCs/>
      <w:sz w:val="24"/>
      <w:szCs w:val="24"/>
    </w:rPr>
  </w:style>
  <w:style w:type="paragraph" w:styleId="Indeks">
    <w:name w:val="Indeks"/>
    <w:basedOn w:val="Normal"/>
    <w:qFormat/>
    <w:pPr>
      <w:suppressLineNumbers/>
    </w:pPr>
    <w:rPr>
      <w:rFonts w:cs="Arial Unicode MS"/>
    </w:rPr>
  </w:style>
  <w:style w:type="paragraph" w:styleId="normal1" w:default="1">
    <w:name w:val="normal1"/>
    <w:qFormat/>
    <w:pPr>
      <w:widowControl/>
      <w:suppressAutoHyphens w:val="true"/>
      <w:bidi w:val="0"/>
      <w:spacing w:before="0" w:after="0"/>
      <w:jc w:val="left"/>
    </w:pPr>
    <w:rPr>
      <w:rFonts w:ascii="Cambria" w:hAnsi="Cambria" w:eastAsia="Cambria" w:cs="Cambria"/>
      <w:color w:val="auto"/>
      <w:kern w:val="0"/>
      <w:sz w:val="24"/>
      <w:szCs w:val="24"/>
      <w:lang w:val="pl-PL" w:eastAsia="zh-CN" w:bidi="hi-IN"/>
    </w:rPr>
  </w:style>
  <w:style w:type="paragraph" w:styleId="Title">
    <w:name w:val="Title"/>
    <w:basedOn w:val="normal1"/>
    <w:next w:val="normal1"/>
    <w:qFormat/>
    <w:pPr>
      <w:keepNext w:val="true"/>
      <w:keepLines/>
      <w:pageBreakBefore w:val="false"/>
      <w:spacing w:lineRule="auto" w:line="240" w:before="480" w:after="120"/>
    </w:pPr>
    <w:rPr>
      <w:b/>
      <w:sz w:val="72"/>
      <w:szCs w:val="72"/>
    </w:rPr>
  </w:style>
  <w:style w:type="paragraph" w:styleId="Subtitle">
    <w:name w:val="Subtitle"/>
    <w:basedOn w:val="normal1"/>
    <w:next w:val="normal1"/>
    <w:qFormat/>
    <w:pPr>
      <w:keepNext w:val="true"/>
      <w:keepLines/>
      <w:pageBreakBefore w:val="false"/>
      <w:widowControl/>
      <w:shd w:val="clear" w:fill="auto"/>
      <w:spacing w:lineRule="auto" w:line="240" w:before="360" w:after="80"/>
      <w:ind w:hanging="0" w:left="0" w:right="0"/>
      <w:jc w:val="left"/>
    </w:pPr>
    <w:rPr>
      <w:rFonts w:ascii="Georgia" w:hAnsi="Georgia" w:eastAsia="Georgia" w:cs="Georgia"/>
      <w:b w:val="false"/>
      <w:i/>
      <w:caps w:val="false"/>
      <w:smallCaps w:val="false"/>
      <w:strike w:val="false"/>
      <w:dstrike w:val="false"/>
      <w:color w:val="666666"/>
      <w:position w:val="0"/>
      <w:sz w:val="48"/>
      <w:sz w:val="48"/>
      <w:szCs w:val="48"/>
      <w:u w:val="none"/>
      <w:shd w:fill="auto" w:val="clear"/>
      <w:vertAlign w:val="baseline"/>
    </w:rPr>
  </w:style>
  <w:style w:type="numbering" w:styleId="Bezlisty" w:default="1">
    <w:name w:val="Bez listy"/>
    <w:uiPriority w:val="99"/>
    <w:semiHidden/>
    <w:unhideWhenUsed/>
    <w:qFormat/>
  </w:style>
  <w:style w:type="table" w:default="1" w:styleId="TableNormal">
    <w:name w:val="Table Normal"/>
  </w:style>
  <w:style w:type="table" w:default="1" w:styleId="TableNormal">
    <w:name w:val="Table Normal"/>
  </w:style>
  <w:style w:type="table" w:default="1" w:styleId="Standardowy">
    <w:name w:val="Normal Table"/>
    <w:uiPriority w:val="99"/>
    <w:semiHidden/>
    <w:unhideWhenUsed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Tabela-Siatka">
    <w:name w:val="Table Grid"/>
    <w:basedOn w:val="Standardowy"/>
    <w:uiPriority w:val="39"/>
    <w:rsid w:val="008709e9"/>
    <w:pPr>
      <w:spacing w:after="0" w:line="240" w:lineRule="auto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customXml" Target="../customXml/item1.xml"/>
</Relationships>
</file>

<file path=word/theme/theme1.xml><?xml version="1.0" encoding="utf-8"?>
<a:theme xmlns:a="http://schemas.openxmlformats.org/drawingml/2006/main" xmlns:r="http://schemas.openxmlformats.org/officeDocument/2006/relationships" name="Motyw pakietu Office">
  <a:themeElements>
    <a:clrScheme name="Pakiet Office">
      <a:dk1>
        <a:srgbClr val="000000"/>
      </a:dk1>
      <a:lt1>
        <a:srgbClr val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 pitchFamily="0" charset="1"/>
        <a:ea typeface=""/>
        <a:cs typeface=""/>
      </a:majorFont>
      <a:minorFont>
        <a:latin typeface="Calibri" panose="020F0502020204030204" pitchFamily="0" charset="1"/>
        <a:ea typeface=""/>
        <a:cs typeface=""/>
      </a:minorFont>
    </a:fontScheme>
    <a:fmtScheme>
      <a:fillStyleLst>
        <a:solidFill>
          <a:schemeClr val="phClr"/>
        </a:solidFill>
        <a:gradFill>
          <a:gsLst>
            <a:gs pos="0">
              <a:schemeClr val="phClr">
                <a:lumMod val="110000"/>
                <a:tint val="67000"/>
              </a:schemeClr>
            </a:gs>
            <a:gs pos="50000">
              <a:schemeClr val="phClr">
                <a:lumMod val="105000"/>
                <a:tint val="73000"/>
              </a:schemeClr>
            </a:gs>
            <a:gs pos="100000">
              <a:schemeClr val="phClr">
                <a:lumMod val="105000"/>
                <a:tint val="81000"/>
              </a:schemeClr>
            </a:gs>
          </a:gsLst>
          <a:lin ang="5400000" scaled="0"/>
          <a:tileRect l="0" t="0" r="0" b="0"/>
        </a:gradFill>
        <a:gradFill>
          <a:gsLst>
            <a:gs pos="0">
              <a:schemeClr val="phClr">
                <a:lumMod val="102000"/>
                <a:tint val="94000"/>
              </a:schemeClr>
            </a:gs>
            <a:gs pos="50000">
              <a:schemeClr val="phClr">
                <a:lumMod val="100000"/>
                <a:shade val="100000"/>
              </a:schemeClr>
            </a:gs>
            <a:gs pos="100000">
              <a:schemeClr val="phClr">
                <a:lumMod val="99000"/>
                <a:shade val="78000"/>
              </a:schemeClr>
            </a:gs>
          </a:gsLst>
          <a:lin ang="5400000" scaled="0"/>
          <a:tileRect l="0" t="0" r="0" b="0"/>
        </a:gradFill>
      </a:fillStyleLst>
      <a:lnStyleLst>
        <a:ln w="6350" cap="flat" cmpd="sng" algn="ctr">
          <a:prstDash val="solid"/>
          <a:miter lim="800000"/>
        </a:ln>
        <a:ln w="12700" cap="flat" cmpd="sng" algn="ctr">
          <a:prstDash val="solid"/>
          <a:miter lim="800000"/>
        </a:ln>
        <a:ln w="19050" cap="flat" cmpd="sng" algn="ctr"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solidFill>
          <a:schemeClr val="phClr">
            <a:tint val="95000"/>
          </a:schemeClr>
        </a:solidFill>
        <a:gradFill>
          <a:gsLst>
            <a:gs pos="0">
              <a:schemeClr val="phClr">
                <a:tint val="93000"/>
                <a:shade val="98000"/>
                <a:lumMod val="102000"/>
              </a:schemeClr>
            </a:gs>
            <a:gs pos="50000">
              <a:schemeClr val="phClr">
                <a:tint val="98000"/>
                <a:shade val="90000"/>
                <a:lumMod val="103000"/>
              </a:schemeClr>
            </a:gs>
            <a:gs pos="100000">
              <a:schemeClr val="phClr">
                <a:shade val="63000"/>
              </a:schemeClr>
            </a:gs>
          </a:gsLst>
          <a:lin ang="5400000" scaled="0"/>
          <a:tileRect l="0" t="0" r="0" b="0"/>
        </a:gradFill>
      </a:bgFillStyleLst>
    </a:fmtScheme>
  </a:themeElements>
</a:theme>
</file>

<file path=customXml/_rels/item1.xml.rels><?xml version="1.0" encoding="UTF-8"?>
<Relationships xmlns="http://schemas.openxmlformats.org/package/2006/relationships"><Relationship Id="rId1" Type="http://schemas.openxmlformats.org/officeDocument/2006/relationships/customXmlProps" Target="itemProps1.xml"/>
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roundtripDataSignature="AMtx7mh4cu+P/UCLAF/F5B4FLR+Q7YX6uA==">CgMxLjA4AHIhMXMyeXI0RW03eFNnZFZOS2prZEJldTVDNDFOZGt5SnBD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/>
  <TotalTime>2</TotalTime>
  <Application>LibreOffice/24.2.5.2$MacOSX_X86_64 LibreOffice_project/bffef4ea93e59bebbeaf7f431bb02b1a39ee8a59</Application>
  <AppVersion>15.0000</AppVersion>
  <Pages>5</Pages>
  <Words>1515</Words>
  <Characters>10311</Characters>
  <CharactersWithSpaces>11761</CharactersWithSpaces>
  <Paragraphs>121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2024-04-16T12:44:00Z</dcterms:created>
  <dc:creator>Helena Tomaszek-Plewa</dc:creator>
  <dc:description/>
  <dc:language>pl-PL</dc:language>
  <cp:lastModifiedBy/>
  <dcterms:modified xsi:type="dcterms:W3CDTF">2025-01-16T23:09:54Z</dcterms:modified>
  <cp:revision>2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