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9EB31" w14:textId="77777777" w:rsidR="001264DE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10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5"/>
        <w:gridCol w:w="465"/>
        <w:gridCol w:w="255"/>
        <w:gridCol w:w="975"/>
        <w:gridCol w:w="360"/>
        <w:gridCol w:w="1200"/>
        <w:gridCol w:w="105"/>
        <w:gridCol w:w="390"/>
        <w:gridCol w:w="1365"/>
        <w:gridCol w:w="1695"/>
      </w:tblGrid>
      <w:tr w:rsidR="001264DE" w14:paraId="303BDCAE" w14:textId="77777777">
        <w:tc>
          <w:tcPr>
            <w:tcW w:w="9105" w:type="dxa"/>
            <w:gridSpan w:val="10"/>
          </w:tcPr>
          <w:p w14:paraId="5CE09EE0" w14:textId="77777777" w:rsidR="001264D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Sonata kameralna</w:t>
            </w:r>
          </w:p>
        </w:tc>
      </w:tr>
      <w:tr w:rsidR="001264DE" w14:paraId="715FB554" w14:textId="77777777">
        <w:tc>
          <w:tcPr>
            <w:tcW w:w="9105" w:type="dxa"/>
            <w:gridSpan w:val="10"/>
          </w:tcPr>
          <w:p w14:paraId="038DC8DF" w14:textId="77777777" w:rsidR="001264D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Organów, Klawesynu              i Muzyki Dawnej</w:t>
            </w:r>
          </w:p>
        </w:tc>
      </w:tr>
      <w:tr w:rsidR="001264DE" w14:paraId="61E3E58D" w14:textId="77777777">
        <w:tc>
          <w:tcPr>
            <w:tcW w:w="4350" w:type="dxa"/>
            <w:gridSpan w:val="5"/>
          </w:tcPr>
          <w:p w14:paraId="7FBC38B2" w14:textId="77777777" w:rsidR="001264D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55" w:type="dxa"/>
            <w:gridSpan w:val="5"/>
          </w:tcPr>
          <w:p w14:paraId="72D7F521" w14:textId="77777777" w:rsidR="001264D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Kontrabas wiedeński – profil kameralno-orkiestrowy</w:t>
            </w:r>
          </w:p>
        </w:tc>
      </w:tr>
      <w:tr w:rsidR="001264DE" w14:paraId="2907A88C" w14:textId="77777777">
        <w:tc>
          <w:tcPr>
            <w:tcW w:w="4350" w:type="dxa"/>
            <w:gridSpan w:val="5"/>
          </w:tcPr>
          <w:p w14:paraId="7EEA4815" w14:textId="77777777" w:rsidR="001264D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55" w:type="dxa"/>
            <w:gridSpan w:val="5"/>
          </w:tcPr>
          <w:p w14:paraId="7CDC431D" w14:textId="77777777" w:rsidR="001264D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1264DE" w14:paraId="4C6B5FC7" w14:textId="77777777">
        <w:tc>
          <w:tcPr>
            <w:tcW w:w="2760" w:type="dxa"/>
            <w:gridSpan w:val="2"/>
          </w:tcPr>
          <w:p w14:paraId="25D9C3D3" w14:textId="77777777" w:rsidR="001264D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95" w:type="dxa"/>
            <w:gridSpan w:val="5"/>
          </w:tcPr>
          <w:p w14:paraId="2E3A3BA3" w14:textId="77777777" w:rsidR="001264D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50" w:type="dxa"/>
            <w:gridSpan w:val="3"/>
          </w:tcPr>
          <w:p w14:paraId="0B0EA8B8" w14:textId="77777777" w:rsidR="001264D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w innych językach: niemiecki, angielski</w:t>
            </w:r>
          </w:p>
        </w:tc>
      </w:tr>
      <w:tr w:rsidR="001264DE" w14:paraId="762BF5C7" w14:textId="77777777">
        <w:tc>
          <w:tcPr>
            <w:tcW w:w="9105" w:type="dxa"/>
            <w:gridSpan w:val="10"/>
          </w:tcPr>
          <w:p w14:paraId="4E463354" w14:textId="77777777" w:rsidR="001264DE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1264DE" w14:paraId="5C1642B1" w14:textId="77777777">
        <w:tc>
          <w:tcPr>
            <w:tcW w:w="9105" w:type="dxa"/>
            <w:gridSpan w:val="10"/>
          </w:tcPr>
          <w:p w14:paraId="0F80D273" w14:textId="77777777" w:rsidR="001264DE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mgr Kazimierz Pyzik</w:t>
            </w:r>
          </w:p>
        </w:tc>
      </w:tr>
      <w:tr w:rsidR="001264DE" w14:paraId="634C3441" w14:textId="77777777">
        <w:tc>
          <w:tcPr>
            <w:tcW w:w="9105" w:type="dxa"/>
            <w:gridSpan w:val="10"/>
          </w:tcPr>
          <w:p w14:paraId="5D0973FD" w14:textId="77777777" w:rsidR="001264DE" w:rsidRDefault="001264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EB39C22" w14:textId="77777777" w:rsidR="001264D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5B799B6B" w14:textId="77777777" w:rsidR="001264DE" w:rsidRDefault="001264D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264DE" w14:paraId="517FE9BD" w14:textId="77777777">
        <w:tc>
          <w:tcPr>
            <w:tcW w:w="9105" w:type="dxa"/>
            <w:gridSpan w:val="10"/>
          </w:tcPr>
          <w:p w14:paraId="7D7DA063" w14:textId="77777777" w:rsidR="001264DE" w:rsidRDefault="0012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7F030E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Przekazanie pokaźnego zasobu wiedzy w oparciu o źródła historyczne oraz zaawansowanych </w:t>
            </w:r>
          </w:p>
          <w:p w14:paraId="3EA50B20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umiejętności warsztatowych i artystycznych na bazie doświadczeń pedagoga </w:t>
            </w:r>
          </w:p>
          <w:p w14:paraId="5CA898B3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Osiągnięcie przez studenta umiejętności wdrażania w proces edukacyjny wiedzy traktatowej i </w:t>
            </w:r>
          </w:p>
          <w:p w14:paraId="4AF6EF35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spożytkowania jej w konkretnych realizacjach artystycznych </w:t>
            </w:r>
          </w:p>
          <w:p w14:paraId="7E439878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Osiągnięcie przez studenta umiejętności swobodnego i twórczego posługiwania się środkami </w:t>
            </w:r>
          </w:p>
          <w:p w14:paraId="023D3A18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przekazu artystycznego poprzez kreację dojrzałych koncepcji artystycznych wykorzystujących </w:t>
            </w:r>
          </w:p>
          <w:p w14:paraId="01EA5FFF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różnorodne środki ekspresji artystycznej </w:t>
            </w:r>
          </w:p>
          <w:p w14:paraId="177172BD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Osiągnięcie przez studenta wysokiego poziomu warsztatu instrumentalnego </w:t>
            </w:r>
          </w:p>
          <w:p w14:paraId="764B7081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Pełne zrozumienie przez studenta właściwego idiomu kontrabasu wiedeńskiego powiązanego z </w:t>
            </w:r>
          </w:p>
          <w:p w14:paraId="4727F1C1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violą da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gamba,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jako instrumentu nadającego się do wirtuozowskiej gry solowej i w odróżnieniu od </w:t>
            </w:r>
          </w:p>
          <w:p w14:paraId="62724829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kontrabasu kwartowego dysponującym większymi możliwościami gry dwugłosowej i akordowej </w:t>
            </w:r>
          </w:p>
          <w:p w14:paraId="55473EEF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Pełne zrozumienie przez studenta pokrewieństwa kontrabasu wiedeńskiego z rodziną viol da </w:t>
            </w:r>
          </w:p>
          <w:p w14:paraId="29464233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gamba pod kątem szczególnej czułości w kształtowaniu dźwięku i rezonansu </w:t>
            </w:r>
          </w:p>
          <w:p w14:paraId="07665D2C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Osiągnięcie przez studenta elastyczności i gotowości do zmian stroju instrument w zakresie </w:t>
            </w:r>
          </w:p>
          <w:p w14:paraId="7D110EC3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skordatur (głównie na akord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D-,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-, F-dur oraz d-moll), także odnośnie przestrajania najniższej </w:t>
            </w:r>
          </w:p>
          <w:p w14:paraId="12704E5F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struny na różne dźwięki, zrozumienie powiązań z odpowiednimi strojami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lyra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viol </w:t>
            </w:r>
          </w:p>
          <w:p w14:paraId="797B4BD4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Obok biegłej gry na kontrabasie wiedeński, nauczenie studenta swobodnej gry na wybranym stroju </w:t>
            </w:r>
          </w:p>
          <w:p w14:paraId="0A190280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violone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ewentualnie violi da gamba (gdy nie był wcześniej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gambistą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  <w:p w14:paraId="7C818CFD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Zrozumienie przez studenta właściwych uwarunkowań historyczno-społecznych muzyki dawnej </w:t>
            </w:r>
          </w:p>
          <w:p w14:paraId="110AB15C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(głównie od 2 poł XVII w. do 1 poł. XIX w. włącznie) oraz w konsekwencji jej roli, form, zwyczajów i </w:t>
            </w:r>
          </w:p>
          <w:p w14:paraId="6242DC07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klimatu, próba transponowania tych elementów na czasy współczesne </w:t>
            </w:r>
          </w:p>
          <w:p w14:paraId="39FFEEEE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Wspieranie studenta w dążeniu do intensywnego rozwoju w zasadniczej specjalizacji, a także </w:t>
            </w:r>
          </w:p>
          <w:p w14:paraId="2A7DFA00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umożliwienie specjalizowania się w dyscyplinach wymagających dalszych studiów (m.in. możliwe </w:t>
            </w:r>
          </w:p>
          <w:p w14:paraId="3DECAE2A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większe zainteresowanie pewnymi pobocznymi instrumentami, jak kontrabas barytonowy, kwartowy, </w:t>
            </w:r>
          </w:p>
          <w:p w14:paraId="3BE244C5" w14:textId="77777777" w:rsidR="001264DE" w:rsidRPr="008E5B6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kwintowy, viola da gamba, lyra viol, violone, lirone-accordo itp.) </w:t>
            </w:r>
          </w:p>
          <w:p w14:paraId="7275064A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Przygotowanie studenta do podjęcia studiów III stopnia w zakresie studiowanej przez niego </w:t>
            </w:r>
          </w:p>
          <w:p w14:paraId="0E7F4517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specjalności, również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indyscyplinarnym</w:t>
            </w:r>
            <w:proofErr w:type="spellEnd"/>
          </w:p>
          <w:p w14:paraId="438A2EBD" w14:textId="77777777" w:rsidR="001264DE" w:rsidRDefault="0012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72FE905" w14:textId="77777777" w:rsidR="001264DE" w:rsidRDefault="0012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0B2EEB" w14:textId="77777777" w:rsidR="001264DE" w:rsidRDefault="0012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13DFDC" w14:textId="77777777" w:rsidR="001264DE" w:rsidRDefault="0012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64DE" w14:paraId="1D63566C" w14:textId="77777777">
        <w:tc>
          <w:tcPr>
            <w:tcW w:w="9105" w:type="dxa"/>
            <w:gridSpan w:val="10"/>
          </w:tcPr>
          <w:p w14:paraId="3336EA60" w14:textId="77777777" w:rsidR="001264DE" w:rsidRDefault="0012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5CCA423C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565BDE13" w14:textId="77777777" w:rsidR="001264DE" w:rsidRDefault="0012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1264DE" w14:paraId="106A1F61" w14:textId="77777777">
        <w:tc>
          <w:tcPr>
            <w:tcW w:w="9105" w:type="dxa"/>
            <w:gridSpan w:val="10"/>
          </w:tcPr>
          <w:p w14:paraId="06F726B5" w14:textId="77777777" w:rsidR="001264DE" w:rsidRDefault="001264DE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294AD71" w14:textId="77777777" w:rsidR="001264DE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Egzamin wstępny z instrumentu głównego: w przypadku gry na violi da gamba lub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violone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wykonanie utworu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diminucyjnego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włoskiego lub angielskiego typu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divisions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suity, sonaty i ewent. utworu dowolnego, w przypadku gry na kontrabasie: dowolna etiuda (ewent. walc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Dragonettiego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dla odmiany wiedeńskiej transkrypcja), części koncertu, sonaty i ewent. utwór dowolny</w:t>
            </w:r>
          </w:p>
          <w:p w14:paraId="2CCEB107" w14:textId="77777777" w:rsidR="001264DE" w:rsidRDefault="001264D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1264DE" w14:paraId="25341030" w14:textId="77777777">
        <w:trPr>
          <w:trHeight w:val="195"/>
        </w:trPr>
        <w:tc>
          <w:tcPr>
            <w:tcW w:w="9105" w:type="dxa"/>
            <w:gridSpan w:val="10"/>
          </w:tcPr>
          <w:p w14:paraId="52428ACD" w14:textId="77777777" w:rsidR="001264DE" w:rsidRDefault="001264DE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DD3CE03" w14:textId="77777777" w:rsidR="001264D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21932661" w14:textId="77777777" w:rsidR="001264DE" w:rsidRDefault="001264DE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264DE" w14:paraId="2A493DD1" w14:textId="77777777">
        <w:tc>
          <w:tcPr>
            <w:tcW w:w="9105" w:type="dxa"/>
            <w:gridSpan w:val="10"/>
          </w:tcPr>
          <w:p w14:paraId="595DB6B6" w14:textId="77777777" w:rsidR="001264DE" w:rsidRDefault="001264DE">
            <w:pPr>
              <w:rPr>
                <w:rFonts w:ascii="Arial" w:eastAsia="Arial" w:hAnsi="Arial" w:cs="Arial"/>
              </w:rPr>
            </w:pPr>
          </w:p>
          <w:p w14:paraId="7B374393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Nauczanie obejmuje 3 praktyki związane z poszczególnymi epokami ze zdecydowaną przewagą praktyki z 2 poł. XVIII w. </w:t>
            </w:r>
          </w:p>
          <w:p w14:paraId="122847FB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Praktyka późnobarokowa (i rokoko) </w:t>
            </w:r>
          </w:p>
          <w:p w14:paraId="2E5E191D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Praktyka klasyczna (2 poł. XVIII w.) </w:t>
            </w:r>
          </w:p>
          <w:p w14:paraId="6AF63876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Praktyka w muzyce wczesnego XIX w. </w:t>
            </w:r>
          </w:p>
          <w:p w14:paraId="02E0F949" w14:textId="77777777" w:rsidR="001264DE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Dodatkowo na prośbę studenta można uruchomić praktykę gry muzyki współczesnej, jednak nie może ona zajmować zbyt wiele miejsca. Zaleca się również sięganie do tematyki dodatkowej np. gra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violone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violi da gamba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lyra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viol utworów XVI- i XVII-wiecznych, kontrabasie kwartowym, kwintowym i barytonowym (ze strunami jelitowymi) utworów z XVIII w. i wczesnego XIX w. Struktura wymagań programowych na 2-letnich uzupełniających studiach II st. powinna być bardziej elastyczna niż to jest w przypadku studiów I stopnia, umożliwiając specjalizowanie się w dyscyplinach wymagających dalszych pogłębionych studiów. Dlatego na tego typu studia powinni być przyjmowani kontrabasiści (i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gambiści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o skrystalizowanej osobowości artystycznej, z bardzo dobrze opanowanym warsztatem instrumentalnym oraz wykazujący chęć do poszukiwań w zakresie muzyki historycznej. Specjalizacja w zakresie pewnych dodatkowych przestrzeni problematyki kontrabasowej, na którą może ukierunkować pedagog, ale która może też wynikać z decyzji adepta i być pod nadzorem pedagoga, powinna być wzięta pod uwagę w programie drugiego recitalu dyplomowego pomysłu kandydata. Student na każdym egzaminie powinien zgłosić koncert kontrabasowy, przy czym zezwala się na wykonanie tylko 1 lub 2 części, jeśli odbywa się to kosztem ciekawej muzyki kameralnej z solami kontrabasu zgodnie z kameralnym profilem studiów. Zamiast koncertu student może wykonać inną formę o porównywalnej trudności solistycznej, np. Kwartet solowy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Hoffmeistera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lub 2 Arie z kontrabasem solo, jednak może to uczynić najwyżej tylko raz podczas 2- letniego cyklu. Obok koncertu w programie trzeba zamieścić utwór(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 dowolny(e), tak aby zaliczyć możliwie różne formy utworów wymienione poniżej. Kompozycje na kontrabas wiedeński dotyczą głównie formy koncertu wymaganej na egzaminach z instrument głównego, a w muzyce kameralnej utworów typu divertimento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cassazione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notturno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parthia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), które są treścią przedmiotu zespół kameralny. Jednak na egzaminach z instrumentu wskazane jest prezentować też te części utworów kameralnych, w których pojawiają się trudne partie solowe na kontrabas, np.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Mannla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Pfeiffera czy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Malzarta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Obok własnych propozycji student powinien poznać najbardziej reprezentatywne i wymagające utwory podane poniżej, przy czym dla studentów, którzy odbyli studia I stopnia na kontrabasie wiedeńskim powinno się unikać łatwiejszych utworów zaznaczonych na zielono, na profilu kameralnym nie musi się dążyć też do wykonania najtrudniejszych utworów zaznaczonych kolorem czerwonym:</w:t>
            </w:r>
          </w:p>
          <w:p w14:paraId="0BC82716" w14:textId="77777777" w:rsidR="001264DE" w:rsidRDefault="001264D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8902800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a) Sonata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Duetto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 na kontrabas wiedeński z towarzyszeniem innego instrumentu: Anonim (F-dur) D-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SWl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Mus.515 (+b,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Hoffmeister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), </w:t>
            </w:r>
            <w:r>
              <w:rPr>
                <w:rFonts w:ascii="Arial" w:eastAsia="Arial" w:hAnsi="Arial" w:cs="Arial"/>
                <w:color w:val="38761D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Arial" w:eastAsia="Arial" w:hAnsi="Arial" w:cs="Arial"/>
                <w:color w:val="38761D"/>
                <w:sz w:val="20"/>
                <w:szCs w:val="20"/>
              </w:rPr>
              <w:t>Ditters</w:t>
            </w:r>
            <w:proofErr w:type="spellEnd"/>
            <w:r>
              <w:rPr>
                <w:rFonts w:ascii="Arial" w:eastAsia="Arial" w:hAnsi="Arial" w:cs="Arial"/>
                <w:color w:val="38761D"/>
                <w:sz w:val="20"/>
                <w:szCs w:val="20"/>
              </w:rPr>
              <w:t xml:space="preserve"> von </w:t>
            </w:r>
            <w:proofErr w:type="spellStart"/>
            <w:r>
              <w:rPr>
                <w:rFonts w:ascii="Arial" w:eastAsia="Arial" w:hAnsi="Arial" w:cs="Arial"/>
                <w:color w:val="38761D"/>
                <w:sz w:val="20"/>
                <w:szCs w:val="20"/>
              </w:rPr>
              <w:t>Dittersdorf</w:t>
            </w:r>
            <w:proofErr w:type="spellEnd"/>
            <w:r>
              <w:rPr>
                <w:rFonts w:ascii="Arial" w:eastAsia="Arial" w:hAnsi="Arial" w:cs="Arial"/>
                <w:color w:val="38761D"/>
                <w:sz w:val="20"/>
                <w:szCs w:val="20"/>
              </w:rPr>
              <w:t xml:space="preserve"> (+</w:t>
            </w:r>
            <w:proofErr w:type="spellStart"/>
            <w:r>
              <w:rPr>
                <w:rFonts w:ascii="Arial" w:eastAsia="Arial" w:hAnsi="Arial" w:cs="Arial"/>
                <w:color w:val="38761D"/>
                <w:sz w:val="20"/>
                <w:szCs w:val="20"/>
              </w:rPr>
              <w:t>vla</w:t>
            </w:r>
            <w:proofErr w:type="spellEnd"/>
            <w:r>
              <w:rPr>
                <w:rFonts w:ascii="Arial" w:eastAsia="Arial" w:hAnsi="Arial" w:cs="Arial"/>
                <w:color w:val="38761D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38761D"/>
                <w:sz w:val="20"/>
                <w:szCs w:val="20"/>
              </w:rPr>
              <w:t>Doblinger</w:t>
            </w:r>
            <w:proofErr w:type="spellEnd"/>
            <w:r>
              <w:rPr>
                <w:rFonts w:ascii="Arial" w:eastAsia="Arial" w:hAnsi="Arial" w:cs="Arial"/>
                <w:color w:val="38761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8761D"/>
                <w:sz w:val="20"/>
                <w:szCs w:val="20"/>
              </w:rPr>
              <w:t>Breitkopf</w:t>
            </w:r>
            <w:proofErr w:type="spellEnd"/>
            <w:r>
              <w:rPr>
                <w:rFonts w:ascii="Arial" w:eastAsia="Arial" w:hAnsi="Arial" w:cs="Arial"/>
                <w:color w:val="38761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8761D"/>
                <w:sz w:val="20"/>
                <w:szCs w:val="20"/>
              </w:rPr>
              <w:t>Yorke</w:t>
            </w:r>
            <w:proofErr w:type="spellEnd"/>
            <w:r>
              <w:rPr>
                <w:rFonts w:ascii="Arial" w:eastAsia="Arial" w:hAnsi="Arial" w:cs="Arial"/>
                <w:color w:val="38761D"/>
                <w:sz w:val="20"/>
                <w:szCs w:val="20"/>
              </w:rPr>
              <w:t xml:space="preserve"> Edition, </w:t>
            </w:r>
            <w:proofErr w:type="spellStart"/>
            <w:r>
              <w:rPr>
                <w:rFonts w:ascii="Arial" w:eastAsia="Arial" w:hAnsi="Arial" w:cs="Arial"/>
                <w:color w:val="38761D"/>
                <w:sz w:val="20"/>
                <w:szCs w:val="20"/>
              </w:rPr>
              <w:t>Eulenburg</w:t>
            </w:r>
            <w:proofErr w:type="spellEnd"/>
            <w:r>
              <w:rPr>
                <w:rFonts w:ascii="Arial" w:eastAsia="Arial" w:hAnsi="Arial" w:cs="Arial"/>
                <w:color w:val="38761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8761D"/>
                <w:sz w:val="20"/>
                <w:szCs w:val="20"/>
              </w:rPr>
              <w:t>Kunzelmann</w:t>
            </w:r>
            <w:proofErr w:type="spellEnd"/>
            <w:r>
              <w:rPr>
                <w:rFonts w:ascii="Arial" w:eastAsia="Arial" w:hAnsi="Arial" w:cs="Arial"/>
                <w:color w:val="38761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8761D"/>
                <w:sz w:val="20"/>
                <w:szCs w:val="20"/>
              </w:rPr>
              <w:t>Schott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; J.M.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Sperger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Sonata in H mol (+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D-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SWl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Mus. 5182,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Beriato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Walhall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), Sonata D-dur (+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D-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SWl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Mus. 5183, Hofmeister), Sonata Ex D# (+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D-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SWl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Mus. 5184, tylko 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Doblinger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Hofmeister), Sonata in D (+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DSWl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Mus. 5185, tylko 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Doblinger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Hofmeister oraz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Liben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Music w C-dur),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Duetto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(+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DSWl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Mus. 5196, wyd. jako Sonata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Doblinger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  <w:p w14:paraId="6D5B4A86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b) Sonata na inny typ kontrabasu z basso (lub duet) – opracowanie na odmianę wiedeńską: D.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Dragonetti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liczne Soli (GB-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Lbm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IMSLP,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Doblinger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Carisch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), </w:t>
            </w:r>
            <w:r>
              <w:rPr>
                <w:rFonts w:ascii="Arial" w:eastAsia="Arial" w:hAnsi="Arial" w:cs="Arial"/>
                <w:color w:val="CC0000"/>
                <w:sz w:val="20"/>
                <w:szCs w:val="20"/>
              </w:rPr>
              <w:t xml:space="preserve">Anonim (zbiór z Chicago) - </w:t>
            </w:r>
            <w:proofErr w:type="spellStart"/>
            <w:r>
              <w:rPr>
                <w:rFonts w:ascii="Arial" w:eastAsia="Arial" w:hAnsi="Arial" w:cs="Arial"/>
                <w:color w:val="CC0000"/>
                <w:sz w:val="20"/>
                <w:szCs w:val="20"/>
              </w:rPr>
              <w:t>Sonate</w:t>
            </w:r>
            <w:proofErr w:type="spellEnd"/>
            <w:r>
              <w:rPr>
                <w:rFonts w:ascii="Arial" w:eastAsia="Arial" w:hAnsi="Arial" w:cs="Arial"/>
                <w:color w:val="CC0000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color w:val="CC0000"/>
                <w:sz w:val="20"/>
                <w:szCs w:val="20"/>
              </w:rPr>
              <w:t>il</w:t>
            </w:r>
            <w:proofErr w:type="spellEnd"/>
            <w:r>
              <w:rPr>
                <w:rFonts w:ascii="Arial" w:eastAsia="Arial" w:hAnsi="Arial" w:cs="Arial"/>
                <w:color w:val="CC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CC0000"/>
                <w:sz w:val="20"/>
                <w:szCs w:val="20"/>
              </w:rPr>
              <w:t>Contrabasso</w:t>
            </w:r>
            <w:proofErr w:type="spellEnd"/>
            <w:r>
              <w:rPr>
                <w:rFonts w:ascii="Arial" w:eastAsia="Arial" w:hAnsi="Arial" w:cs="Arial"/>
                <w:color w:val="CC0000"/>
                <w:sz w:val="20"/>
                <w:szCs w:val="20"/>
              </w:rPr>
              <w:t xml:space="preserve">: (+b lub </w:t>
            </w:r>
            <w:proofErr w:type="spellStart"/>
            <w:r>
              <w:rPr>
                <w:rFonts w:ascii="Arial" w:eastAsia="Arial" w:hAnsi="Arial" w:cs="Arial"/>
                <w:color w:val="CC0000"/>
                <w:sz w:val="20"/>
                <w:szCs w:val="20"/>
              </w:rPr>
              <w:t>cb</w:t>
            </w:r>
            <w:proofErr w:type="spellEnd"/>
            <w:r>
              <w:rPr>
                <w:rFonts w:ascii="Arial" w:eastAsia="Arial" w:hAnsi="Arial" w:cs="Arial"/>
                <w:color w:val="CC0000"/>
                <w:sz w:val="20"/>
                <w:szCs w:val="20"/>
              </w:rPr>
              <w:t>; US-</w:t>
            </w:r>
            <w:proofErr w:type="spellStart"/>
            <w:r>
              <w:rPr>
                <w:rFonts w:ascii="Arial" w:eastAsia="Arial" w:hAnsi="Arial" w:cs="Arial"/>
                <w:color w:val="CC0000"/>
                <w:sz w:val="20"/>
                <w:szCs w:val="20"/>
              </w:rPr>
              <w:t>Cn</w:t>
            </w:r>
            <w:proofErr w:type="spellEnd"/>
            <w:r>
              <w:rPr>
                <w:rFonts w:ascii="Arial" w:eastAsia="Arial" w:hAnsi="Arial" w:cs="Arial"/>
                <w:color w:val="CC0000"/>
                <w:sz w:val="20"/>
                <w:szCs w:val="20"/>
              </w:rPr>
              <w:t xml:space="preserve"> Case MS 8A 90)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246F305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c) Sonata na inny instrument (np. 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pianoforte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– transkrypcja: G.B.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Borghi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(z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:+</w:t>
            </w:r>
            <w:proofErr w:type="spellStart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vl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d’a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Doblinger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Amadeus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), K.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Ditters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Dittersdorf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Doblinger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), własne transkrypcje 3 sonat skrzypcowych, J.M.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Sperger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Sonata E-dur,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transkr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(z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 +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wyd.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Doblinger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Hofmeister, wyk. na stroju F#1-H1-E-G#-H), własne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transkr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5 sonat skrzypcowych, własne transkrypcje utworów barokowych np. z wiolonczeli sonat A. Vivaldiego, suit J.S. Bacha,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gambowych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sonat Bacha, suit Schenka,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Marais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itp.</w:t>
            </w:r>
          </w:p>
          <w:p w14:paraId="56E60478" w14:textId="77777777" w:rsidR="001264DE" w:rsidRDefault="001264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14660E2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2. Sonaty zespołowe: J.B.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Krumpholz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Harfen-Sonaten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(+ar,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2cr, A-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Wgm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X 29408), J.Ch.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Wagenseil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6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Sonaten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(+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vn,vc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Musedita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), 6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Suites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pièces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= 6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Sonaten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(+3vc; A-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M.N.110; A-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S.m.5175 jako WV 445/1-6,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Doblinger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  <w:p w14:paraId="13FFB085" w14:textId="77777777" w:rsidR="001264DE" w:rsidRDefault="001264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3239FCE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na drugi z egzaminów dyplomowych (II/4) jest zobowiązany przygotować program koncertu własnego pomysłu. Może to być program zarówno przekrojowy, jak i o określonym interesującym temacie. W tym 2 przypadku tematyka może dotyczyć np. okresu historycznego, narodowości, rodzaju obsady, charakteru utworów itp. Szczególnie mile będą widziane koneksje między tą tematyką a tematem pracy dyplomowej Na zajęciach studiów II stopnia powinno się przerabiać znacznie szerszy repertuar niż ten, który zgłasza się do egzaminów. Należy wtedy wybrać w pierwszym rzędzie większą liczbę utworów w ramach poszczególnych punktów ukazanych wyżej, dobierając utwory zarówno według uznania pedagoga, jak i według życzeń studenta. Częstotliwość zmian utworów będzie uzależniona od talentu i predyspozycji adepta, u najzdolniejszych i najbardziej pracowitych studentów można zmieniać utwory nawet co tydzień. Jakkolwiek wskazana jest duża elastyczność w realizacji programu, to jednak stałe wymagania egzaminacyjne dotyczące programu, formy i zakresu prezentacji są niezmienne, W sytuacji rozszerzania programu, realizacji wymaganego minimum, a zwłaszcza utworom egzaminacyjnym należy poświęcić proporcjonalnie większą ilość lekcji. Studenci 2-letnich niestacjonarnych studiów II st. realizują prawie identyczny program, jak studenci stacjonarni, a wymagania programowe egzaminów dyplomowych obydwu form studiów są całkiem jednakowe.</w:t>
            </w:r>
          </w:p>
          <w:p w14:paraId="18B6723D" w14:textId="77777777" w:rsidR="001264DE" w:rsidRDefault="001264DE">
            <w:pPr>
              <w:rPr>
                <w:rFonts w:ascii="Arial" w:eastAsia="Arial" w:hAnsi="Arial" w:cs="Arial"/>
              </w:rPr>
            </w:pPr>
          </w:p>
        </w:tc>
      </w:tr>
      <w:tr w:rsidR="001264DE" w14:paraId="1B6091F5" w14:textId="77777777">
        <w:tc>
          <w:tcPr>
            <w:tcW w:w="9105" w:type="dxa"/>
            <w:gridSpan w:val="10"/>
          </w:tcPr>
          <w:p w14:paraId="56D5427B" w14:textId="77777777" w:rsidR="001264DE" w:rsidRDefault="001264DE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E64546E" w14:textId="77777777" w:rsidR="001264D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7A07E170" w14:textId="77777777" w:rsidR="001264DE" w:rsidRDefault="001264DE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264DE" w14:paraId="742AF21F" w14:textId="77777777">
        <w:tc>
          <w:tcPr>
            <w:tcW w:w="9105" w:type="dxa"/>
            <w:gridSpan w:val="10"/>
          </w:tcPr>
          <w:p w14:paraId="62CC18AD" w14:textId="77777777" w:rsidR="001264DE" w:rsidRDefault="001264DE">
            <w:pPr>
              <w:rPr>
                <w:rFonts w:ascii="Arial" w:eastAsia="Arial" w:hAnsi="Arial" w:cs="Arial"/>
                <w:b/>
              </w:rPr>
            </w:pPr>
          </w:p>
          <w:p w14:paraId="4ADB9949" w14:textId="77777777" w:rsidR="001264D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659469B2" w14:textId="77777777" w:rsidR="001264DE" w:rsidRDefault="001264DE">
            <w:pPr>
              <w:rPr>
                <w:rFonts w:ascii="Arial" w:eastAsia="Arial" w:hAnsi="Arial" w:cs="Arial"/>
              </w:rPr>
            </w:pPr>
          </w:p>
          <w:p w14:paraId="09A7CC40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 w14:paraId="05536D06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 w14:paraId="6C8A3460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 w14:paraId="0D0845BB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1167DE58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 w14:paraId="58C98D6A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 w14:paraId="4743053B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K_W08 - posiada gruntowną wiedzę dotyczącą budowy instrumentów (I smyczków) i ich ewentualnej konserwacji, napraw, strojenia </w:t>
            </w:r>
          </w:p>
          <w:p w14:paraId="712C8D96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K_W09 -poprzez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55409593" w14:textId="77777777" w:rsidR="001264DE" w:rsidRDefault="001264DE">
            <w:pPr>
              <w:rPr>
                <w:rFonts w:ascii="Arial" w:eastAsia="Arial" w:hAnsi="Arial" w:cs="Arial"/>
                <w:b/>
              </w:rPr>
            </w:pPr>
          </w:p>
          <w:p w14:paraId="29B6F967" w14:textId="77777777" w:rsidR="001264D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6B8AA574" w14:textId="77777777" w:rsidR="001264DE" w:rsidRDefault="001264DE">
            <w:pPr>
              <w:rPr>
                <w:rFonts w:ascii="Arial" w:eastAsia="Arial" w:hAnsi="Arial" w:cs="Arial"/>
              </w:rPr>
            </w:pPr>
          </w:p>
          <w:p w14:paraId="40FA4675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 w14:paraId="5C6DBEF5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K_U02 -samodzielnie interpretuje i wykonuje utwory muzyczne w oparciu o własne twórcze motywacje i inspiracje na wysokim poziomie profesjonalizmu, zgodnie z wymaganiami stylistycznymi </w:t>
            </w:r>
          </w:p>
          <w:p w14:paraId="7943AFA4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 w14:paraId="34B62356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4A765E5A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3A0E80CE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 w14:paraId="59703E12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420A0D35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16A98DD6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01B30D95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4D1CC181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 w14:paraId="63384A6E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 w14:paraId="018C4345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7CFD515B" w14:textId="77777777" w:rsidR="001264DE" w:rsidRDefault="001264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D26FF1B" w14:textId="77777777" w:rsidR="001264DE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7C15752A" w14:textId="77777777" w:rsidR="001264DE" w:rsidRDefault="001264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E3CBB9A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 w14:paraId="5AF5D9A3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24AB2220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5448EC48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 w14:paraId="0C9D6B03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 w14:paraId="0E1F184D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59F3FD04" w14:textId="77777777" w:rsidR="001264DE" w:rsidRDefault="001264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3E6164" w14:textId="77777777" w:rsidR="001264DE" w:rsidRDefault="001264D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64DE" w14:paraId="0595FD2B" w14:textId="77777777">
        <w:tc>
          <w:tcPr>
            <w:tcW w:w="9105" w:type="dxa"/>
            <w:gridSpan w:val="10"/>
          </w:tcPr>
          <w:p w14:paraId="2E978354" w14:textId="77777777" w:rsidR="001264D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1264DE" w14:paraId="283382CF" w14:textId="77777777">
        <w:tc>
          <w:tcPr>
            <w:tcW w:w="2295" w:type="dxa"/>
          </w:tcPr>
          <w:p w14:paraId="661E1151" w14:textId="77777777" w:rsidR="001264D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55" w:type="dxa"/>
            <w:gridSpan w:val="5"/>
          </w:tcPr>
          <w:p w14:paraId="2A8B4132" w14:textId="77777777" w:rsidR="001264D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55" w:type="dxa"/>
            <w:gridSpan w:val="4"/>
          </w:tcPr>
          <w:p w14:paraId="3B50DCCD" w14:textId="77777777" w:rsidR="001264D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1264DE" w14:paraId="27EB4733" w14:textId="77777777">
        <w:tc>
          <w:tcPr>
            <w:tcW w:w="2295" w:type="dxa"/>
          </w:tcPr>
          <w:p w14:paraId="5B2E0CF9" w14:textId="77777777" w:rsidR="001264D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95" w:type="dxa"/>
            <w:gridSpan w:val="3"/>
          </w:tcPr>
          <w:p w14:paraId="10B49B21" w14:textId="77777777" w:rsidR="001264D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7BAFFF53" w14:textId="77777777" w:rsidR="001264D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gridSpan w:val="3"/>
          </w:tcPr>
          <w:p w14:paraId="29E31827" w14:textId="77777777" w:rsidR="001264D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5" w:type="dxa"/>
          </w:tcPr>
          <w:p w14:paraId="08225388" w14:textId="77777777" w:rsidR="001264D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1264DE" w14:paraId="6E614287" w14:textId="77777777">
        <w:tc>
          <w:tcPr>
            <w:tcW w:w="2295" w:type="dxa"/>
          </w:tcPr>
          <w:p w14:paraId="08172B40" w14:textId="77777777" w:rsidR="001264D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95" w:type="dxa"/>
            <w:gridSpan w:val="3"/>
          </w:tcPr>
          <w:p w14:paraId="7BE2E0CE" w14:textId="77777777" w:rsidR="001264D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49D745A2" w14:textId="77777777" w:rsidR="001264D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gridSpan w:val="3"/>
          </w:tcPr>
          <w:p w14:paraId="629728FF" w14:textId="77777777" w:rsidR="001264D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5" w:type="dxa"/>
          </w:tcPr>
          <w:p w14:paraId="5C0CB3F9" w14:textId="77777777" w:rsidR="001264D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1264DE" w14:paraId="2C7F3C32" w14:textId="77777777">
        <w:tc>
          <w:tcPr>
            <w:tcW w:w="2295" w:type="dxa"/>
          </w:tcPr>
          <w:p w14:paraId="2442248A" w14:textId="77777777" w:rsidR="001264D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95" w:type="dxa"/>
            <w:gridSpan w:val="3"/>
          </w:tcPr>
          <w:p w14:paraId="18808067" w14:textId="77777777" w:rsidR="001264D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4CAA0B9" w14:textId="77777777" w:rsidR="001264D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gridSpan w:val="3"/>
          </w:tcPr>
          <w:p w14:paraId="3C84A09D" w14:textId="77777777" w:rsidR="001264D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5" w:type="dxa"/>
          </w:tcPr>
          <w:p w14:paraId="471284D8" w14:textId="77777777" w:rsidR="001264D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1264DE" w14:paraId="3E78ACB5" w14:textId="77777777">
        <w:tc>
          <w:tcPr>
            <w:tcW w:w="2295" w:type="dxa"/>
          </w:tcPr>
          <w:p w14:paraId="283508F5" w14:textId="77777777" w:rsidR="001264DE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95" w:type="dxa"/>
            <w:gridSpan w:val="3"/>
          </w:tcPr>
          <w:p w14:paraId="15A55ABA" w14:textId="77777777" w:rsidR="001264D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03963C22" w14:textId="77777777" w:rsidR="001264D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60" w:type="dxa"/>
            <w:gridSpan w:val="3"/>
          </w:tcPr>
          <w:p w14:paraId="358D9E6C" w14:textId="77777777" w:rsidR="001264D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5" w:type="dxa"/>
          </w:tcPr>
          <w:p w14:paraId="1503664F" w14:textId="77777777" w:rsidR="001264DE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1264DE" w14:paraId="1249298B" w14:textId="77777777">
        <w:tc>
          <w:tcPr>
            <w:tcW w:w="9105" w:type="dxa"/>
            <w:gridSpan w:val="10"/>
          </w:tcPr>
          <w:p w14:paraId="36866496" w14:textId="77777777" w:rsidR="001264DE" w:rsidRDefault="0012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CCD973F" w14:textId="77777777" w:rsidR="001264DE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56303409" w14:textId="77777777" w:rsidR="001264DE" w:rsidRDefault="0012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264DE" w14:paraId="03E6E06E" w14:textId="77777777">
        <w:tc>
          <w:tcPr>
            <w:tcW w:w="9105" w:type="dxa"/>
            <w:gridSpan w:val="10"/>
          </w:tcPr>
          <w:p w14:paraId="1BCB7F08" w14:textId="77777777" w:rsidR="001264DE" w:rsidRDefault="0012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D51EF6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Publiczne wykonanie 2 recitali dyplomowych </w:t>
            </w:r>
          </w:p>
          <w:p w14:paraId="5311A107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 Napisanie i obrona pracy dyplomowej</w:t>
            </w:r>
          </w:p>
          <w:p w14:paraId="665B6554" w14:textId="77777777" w:rsidR="001264DE" w:rsidRDefault="0012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4B34E9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Kryteria oceny: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F39AFF9" w14:textId="77777777" w:rsidR="001264DE" w:rsidRDefault="0012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20E1CA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warsztat wykonawczy – umiejętności techniczne </w:t>
            </w:r>
          </w:p>
          <w:p w14:paraId="6F82BF4C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opanowanie i zrozumienie tekstu muzycznego </w:t>
            </w:r>
          </w:p>
          <w:p w14:paraId="05F1BA4D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logika narracji muzycznej i odpowiednie frazowanie </w:t>
            </w:r>
          </w:p>
          <w:p w14:paraId="2584E0D5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umiejętność wypowiedzi w różnych stylach i formach muzycznych </w:t>
            </w:r>
          </w:p>
          <w:p w14:paraId="75B22271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kształtowanie dźwięku i jego jakość estetyczna </w:t>
            </w:r>
          </w:p>
          <w:p w14:paraId="4DE04BCD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intonacja </w:t>
            </w:r>
          </w:p>
          <w:p w14:paraId="30C8CFF7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stopień zrozumienia właściwego idiomu kontrabasu wiedeńskiego (biegłość </w:t>
            </w:r>
          </w:p>
          <w:p w14:paraId="22DEFE10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techniki flażoletowej, umiejętności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harmoniczne,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 w kształtowaniu dźwięku) </w:t>
            </w:r>
          </w:p>
          <w:p w14:paraId="5FC582A7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elastyczność w stosunku do różnych strojów i odmian instrumentu </w:t>
            </w:r>
          </w:p>
          <w:p w14:paraId="37322E84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umiejętność improwizacji kadencji </w:t>
            </w:r>
          </w:p>
          <w:p w14:paraId="1B2F3C5F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zgodność wykonawcza z traktatami i wymogami interpretacyjnymi opisywanymi w </w:t>
            </w:r>
          </w:p>
          <w:p w14:paraId="7E2BC7BF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źródłach historycznych</w:t>
            </w:r>
          </w:p>
          <w:p w14:paraId="709AF646" w14:textId="77777777" w:rsidR="001264DE" w:rsidRDefault="0012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64DE" w14:paraId="52EDF3D9" w14:textId="77777777">
        <w:tc>
          <w:tcPr>
            <w:tcW w:w="9105" w:type="dxa"/>
            <w:gridSpan w:val="10"/>
          </w:tcPr>
          <w:p w14:paraId="4B3C9F52" w14:textId="77777777" w:rsidR="001264DE" w:rsidRDefault="0012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FB8F1F1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25268CA2" w14:textId="77777777" w:rsidR="001264DE" w:rsidRDefault="0012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1264DE" w:rsidRPr="008E5B6B" w14:paraId="4129DA22" w14:textId="77777777">
        <w:tc>
          <w:tcPr>
            <w:tcW w:w="9105" w:type="dxa"/>
            <w:gridSpan w:val="10"/>
          </w:tcPr>
          <w:p w14:paraId="0DB0B33D" w14:textId="77777777" w:rsidR="001264DE" w:rsidRPr="008E5B6B" w:rsidRDefault="001264DE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4ED8D1BF" w14:textId="77777777" w:rsidR="001264DE" w:rsidRPr="008E5B6B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(piśmiennictwo): </w:t>
            </w:r>
          </w:p>
          <w:p w14:paraId="6EF37B21" w14:textId="77777777" w:rsidR="001264DE" w:rsidRPr="008E5B6B" w:rsidRDefault="001264DE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DC78CAA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Czasopisma </w:t>
            </w:r>
          </w:p>
          <w:p w14:paraId="3B6C09FC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Sperger Forum (rocznik: Mitteilungsblatt der Internationalen Johann Matthias Sperger Gesellschaft e.V. gegr.2001), Potsdam; Internationaler J.M. Sperger Wettbewerb für Kontrabass, Magazin (rocznik) Schwerin, niektóre artykuły: Bass World – The Magazine of the International Society of Bassist, New York, uzupełniająco: The Viol (kwartalnik VdGS of Great Britain), rocznik, Chelys, Journal of VdGS of America </w:t>
            </w:r>
          </w:p>
          <w:p w14:paraId="3AC7D32D" w14:textId="77777777" w:rsidR="001264DE" w:rsidRPr="008E5B6B" w:rsidRDefault="001264DE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EFD3BE4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Książki (ogólne, historyczne i lutnicze): </w:t>
            </w:r>
          </w:p>
          <w:p w14:paraId="73EF6BCC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F. Bagnasco – KontraBach. Percorso storico musicale di un binomio possibile, Padova 2012 </w:t>
            </w:r>
          </w:p>
          <w:p w14:paraId="4307665F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K. le Compte – Meta Hodos, The Viennese Violone, A personal journey and a Method, 2019 </w:t>
            </w:r>
          </w:p>
          <w:p w14:paraId="0DEF2EB2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Le Comptee C.- Viennese tuning, w: ISB-J 18/1, 1991/92 </w:t>
            </w:r>
          </w:p>
          <w:p w14:paraId="2BDF1086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Josef Focht – Der Wiener Kontrabaß, Tutzing (H. Schneider) 1999 </w:t>
            </w:r>
          </w:p>
          <w:p w14:paraId="27899E74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>T. Glöckler – Von Verschollenen Autographen und „Verstimmten” Kontrabässen, KonzertArien mit obligatem Kontraba</w:t>
            </w:r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von Wolfgang Amadeus Mozart und Johannas Sperger, w: Das Orchester 9/97 O. Kade – Die Musikaliensammlung des Großherzogl. Mecklenburg.-Schweriner Fürstenhauses, Schwerin 1893 </w:t>
            </w:r>
          </w:p>
          <w:p w14:paraId="65907D56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Lustig (red.) – Geschichte, Bauweise und Spieltechnik der tiefen Streichinstrumente, Michaelsteiner Konferenzberichte 64, Dößel 2004 </w:t>
            </w:r>
          </w:p>
          <w:p w14:paraId="73254B18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Luca Marzetti – 18th Century „Method for Double Bass” found in Italy: arsantiguapresents.com/archives/articles-bibliographies </w:t>
            </w:r>
          </w:p>
          <w:p w14:paraId="78BEC569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>A. Meier – Konzertante Musik für Kontraba</w:t>
            </w:r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in der Wiener Klassik, jako: Schriften zur Musik 4, Giebing </w:t>
            </w:r>
            <w:proofErr w:type="gramStart"/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>19691 ,</w:t>
            </w:r>
            <w:proofErr w:type="gramEnd"/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19792 </w:t>
            </w:r>
          </w:p>
          <w:p w14:paraId="49A84A59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Meier – The Vienna Double Bass and its technique during the era of the Vienna Classic, w: ISB-J 13/3, 1987 </w:t>
            </w:r>
          </w:p>
          <w:p w14:paraId="58392640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Meier – Thematisches Werkverzeichnis der Kompositionen von Johannes Sperger, Michaelstein/Blankenburg 1990 </w:t>
            </w:r>
          </w:p>
          <w:p w14:paraId="237D5100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C. Meyer – Thematischer Katalog der Musikaliensammlung der Mecklenburgischen Landesbibliothek (Ms.) </w:t>
            </w:r>
          </w:p>
          <w:p w14:paraId="1999281F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Igor Pecevski – Viennese Tuning – general concepts, (wycofana strona internetowa), </w:t>
            </w:r>
          </w:p>
          <w:p w14:paraId="23A4ECCE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Planyavsky – Geschichte des Kontrabasses, Tutzing 19701 , 19842 </w:t>
            </w:r>
          </w:p>
          <w:p w14:paraId="091D4F84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Planyavsky – Der Barockkontrabass Violone, Wien/Salzburg 1989 </w:t>
            </w:r>
          </w:p>
          <w:p w14:paraId="448022AA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Salmen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red.)-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Kontraba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β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Baβ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funktion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jako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Innsbrucker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Beiträge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zur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Musikwissenschaft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12, Innsbruck 1986 M. </w:t>
            </w:r>
          </w:p>
          <w:p w14:paraId="02BEB7F1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 Schultz – The tuning of the Viennese Double Bass: An indication of its effect on the articulation of form in a Dittersdorf Concerto, w: ISB-J 15/3, 1989 </w:t>
            </w:r>
          </w:p>
          <w:p w14:paraId="69A34668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 xml:space="preserve">E. Thom – Bericht über das Sperger-Kolloquiumanläßlich seines 175.Todestages am 13.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Mai 1987,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Studien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zur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Aufführungspraxis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Interpretation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der Musik des 18.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Jahrhundert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Michaelstein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Blankenburg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1988 </w:t>
            </w:r>
          </w:p>
          <w:p w14:paraId="37D0E3EB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U. Tank – Die Dokumente der Esterházy-Archive zur fürstlichen Hofkapelle 1761 – 1770, w: HSt 4 H.3/4, München 1980 </w:t>
            </w:r>
          </w:p>
          <w:p w14:paraId="63C47A92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K. Trumpf – „…da er einer unserer besten Virtuosen ist”, Mainz (Schott), 2021 </w:t>
            </w:r>
          </w:p>
          <w:p w14:paraId="039F28D5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>F. Warnecke – Ad infinitum. Der Kontraba</w:t>
            </w:r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Seine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Geschichte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seine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Zukunft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Probleme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deren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Lösung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zur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Hebung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Kontraba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spiels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Hamburg 1909 </w:t>
            </w:r>
          </w:p>
          <w:p w14:paraId="0BEE152D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D. W. Jones - Music in Eighteen- Century Austria, Cambridge 1996 </w:t>
            </w:r>
          </w:p>
          <w:p w14:paraId="47AF0FC0" w14:textId="77777777" w:rsidR="001264DE" w:rsidRPr="008E5B6B" w:rsidRDefault="001264DE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1FC1FA1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uzupełniająco: </w:t>
            </w:r>
          </w:p>
          <w:p w14:paraId="60562606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N. Dolmetsch – The Viola da Gamba, Its Origin and History… </w:t>
            </w:r>
          </w:p>
          <w:p w14:paraId="63FD9968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B. Hoffmann – Viola da gamba (L’Epos), </w:t>
            </w:r>
          </w:p>
          <w:p w14:paraId="12F313D5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P. Holman – Life after Death (Boydell&amp;Brewer), , </w:t>
            </w:r>
          </w:p>
          <w:p w14:paraId="124C9F2F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A.H. A. König – Die Viola da Gamba (Bochinsky), </w:t>
            </w:r>
          </w:p>
          <w:p w14:paraId="20838885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Otterstedt – Die Englische Lyra-Viol…(Bärenreiter), Die Gambe. Kulturgeschichte und praktischer Ratgeber, M. Strümper – Die Viola da Gamba am Wiener Kaiserhof (H. Schneider), I. Woodfield – Tha Early History of Viols (Cambridge University) </w:t>
            </w:r>
          </w:p>
          <w:p w14:paraId="711923DD" w14:textId="77777777" w:rsidR="001264DE" w:rsidRPr="008E5B6B" w:rsidRDefault="001264DE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C81D569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Traktaty </w:t>
            </w:r>
          </w:p>
          <w:p w14:paraId="4BE50E36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J.G.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Albrechtsberger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/wyd.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Ignaz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Ritter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Seyfried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Sämmtliche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Schriften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t.3, Wien 18372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Allgemeine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musikalische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Zeitung – wybrane artykuły i recenzje dotyczące kontrabasistów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Bonifazio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Asioli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 Correggio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Elementi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Contrabasso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Milano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b.d. (ok.1820) </w:t>
            </w:r>
          </w:p>
          <w:p w14:paraId="2D5F0B34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Brulon – Méthode de contre-basse, Paris 1841 </w:t>
            </w:r>
          </w:p>
          <w:p w14:paraId="323D9EB6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Corrette - Méthodes pour apprendre à jouer de la Contre-Basse à 3, à 4 et 5 cordes, de la Quinte ou Alto et de la Viole d’orphée, Paryż 1781 </w:t>
            </w:r>
          </w:p>
          <w:p w14:paraId="00FE7746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K. Ditters von Dittersdorf – Lebensbeschreibung, Leipzig 1801 </w:t>
            </w:r>
          </w:p>
          <w:p w14:paraId="3D327306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Durier – Méthode Complete de Contre-Basse, Paris 1836 </w:t>
            </w:r>
          </w:p>
          <w:p w14:paraId="537388AB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F. Christoph Francke – Anleitung den Contrabass zu spielen, Chemnitz, b.d. (ok.1820) </w:t>
            </w:r>
          </w:p>
          <w:p w14:paraId="124EE51C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F. J. Fröhlich - Vollständige Theoretisch-practische Musikschule………w tym: ContrebassSchule, Bonn, Frankfurt am Main, b.d. (1810?) </w:t>
            </w:r>
          </w:p>
          <w:p w14:paraId="77B8269B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 Fröhlich - Systematischer Unterricht in den vorzüglichsten Orchester-Instrumenten mit einer Einleitung, Kontrabaß=Schule, Würzburg 1829 V. Hause – Kontrabaß Schule, Dresden, b.d.: 1809 W. Hause – Methode Complette de Contrebaße, Troisiéme Partie, Prague, 1844 </w:t>
            </w:r>
          </w:p>
          <w:p w14:paraId="6EADF46D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>J. Hindle – Der Contraba</w:t>
            </w:r>
            <w:r>
              <w:rPr>
                <w:rFonts w:ascii="Arial" w:eastAsia="Arial" w:hAnsi="Arial" w:cs="Arial"/>
                <w:sz w:val="20"/>
                <w:szCs w:val="20"/>
              </w:rPr>
              <w:t>β</w:t>
            </w: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-Lehrer. Ein theoretisch-praktisches Lehrbuch, 2 tomy, Wien b.d. (1854) Javureck – Nouvelle méthode de Contre-Basse, Paris 1841 </w:t>
            </w:r>
          </w:p>
          <w:p w14:paraId="2286FE00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 F. B. C. Majer – Museum Musicum – Schwäbisch Hall 1732, str.80 August Müller - Ueber den Contrabaß und dessen Behandlung (2 Art.), w: Neue Zeitschrift für Musik no. 29 (October 7, 1848) J.C.A. Miné – Méthode de Contre-Basse, Paris, przed 1827 </w:t>
            </w:r>
          </w:p>
          <w:p w14:paraId="2FCAF7FA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L. Mozart – Gründliche Violinschule, Augsburg 17873 </w:t>
            </w:r>
          </w:p>
          <w:p w14:paraId="18981195" w14:textId="77777777" w:rsidR="001264D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D.J.C. Nicolai – Das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Spiel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auf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Contrabass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 AMZ 18/16, 1816 </w:t>
            </w:r>
          </w:p>
          <w:p w14:paraId="1CE739DA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S. Petri – Anleitung zur praktischen Musik, Lauban 17671 , Leipzig 17822 </w:t>
            </w:r>
          </w:p>
          <w:p w14:paraId="6DA326ED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J.J. Prinner – Musicalischer Schlissl, niewydany manuskrypt, b.m. 1766 US-Wc </w:t>
            </w:r>
          </w:p>
          <w:p w14:paraId="27193DEC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Slama - Contrabaſs-Schule in Dreichſig leicht faſslichen und gründlichen Lectionen, Wien 1839 </w:t>
            </w:r>
          </w:p>
          <w:p w14:paraId="0E6948E6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 G. Walther – Musikalisches Lexicon, Leipzig 1732 </w:t>
            </w:r>
          </w:p>
          <w:p w14:paraId="781E61F0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>P. von Winter – Méthode de Contre-Basse, Paris 1843 Viole de Gambe, Mèthodes et Traites, Série I, France 1600-1800; Série IV, Italie 1600-</w:t>
            </w:r>
            <w:proofErr w:type="gramStart"/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>1800 ,</w:t>
            </w:r>
            <w:proofErr w:type="gramEnd"/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vol.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I-IV (wyd. </w:t>
            </w: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Fuzeau), </w:t>
            </w:r>
          </w:p>
          <w:p w14:paraId="40A031D8" w14:textId="77777777" w:rsidR="001264DE" w:rsidRPr="008E5B6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E5B6B">
              <w:rPr>
                <w:rFonts w:ascii="Arial" w:eastAsia="Arial" w:hAnsi="Arial" w:cs="Arial"/>
                <w:sz w:val="20"/>
                <w:szCs w:val="20"/>
                <w:lang w:val="en-US"/>
              </w:rPr>
              <w:t>Ch. Simpson – The Division Viol, - A compendium or introduction to Practicall Music (BiblioBazaar), T. Mace – Musick’s Monument (wyd. Editio du centre national de la recherché scientifique) i in.</w:t>
            </w:r>
          </w:p>
          <w:p w14:paraId="5CA4F678" w14:textId="77777777" w:rsidR="001264DE" w:rsidRPr="008E5B6B" w:rsidRDefault="001264DE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F9052FA" w14:textId="77777777" w:rsidR="001264DE" w:rsidRPr="008E5B6B" w:rsidRDefault="001264DE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ECC248D" w14:textId="77777777" w:rsidR="001264DE" w:rsidRPr="008E5B6B" w:rsidRDefault="001264DE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8A30600" w14:textId="77777777" w:rsidR="001264DE" w:rsidRPr="008E5B6B" w:rsidRDefault="001264DE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1264DE" w14:paraId="207D3F30" w14:textId="77777777">
        <w:tc>
          <w:tcPr>
            <w:tcW w:w="9105" w:type="dxa"/>
            <w:gridSpan w:val="10"/>
          </w:tcPr>
          <w:p w14:paraId="7DA223AA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503F1E61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1264DE" w14:paraId="3097D731" w14:textId="77777777">
        <w:tc>
          <w:tcPr>
            <w:tcW w:w="9105" w:type="dxa"/>
            <w:gridSpan w:val="10"/>
          </w:tcPr>
          <w:p w14:paraId="7FEDE701" w14:textId="77777777" w:rsidR="001264DE" w:rsidRDefault="0012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4C41802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51D9EE4D" w14:textId="77777777" w:rsidR="001264DE" w:rsidRDefault="0012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264DE" w14:paraId="1EF25F99" w14:textId="77777777">
        <w:tc>
          <w:tcPr>
            <w:tcW w:w="3015" w:type="dxa"/>
            <w:gridSpan w:val="3"/>
          </w:tcPr>
          <w:p w14:paraId="4C2736C3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Data</w:t>
            </w:r>
          </w:p>
        </w:tc>
        <w:tc>
          <w:tcPr>
            <w:tcW w:w="3030" w:type="dxa"/>
            <w:gridSpan w:val="5"/>
          </w:tcPr>
          <w:p w14:paraId="176CA704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60" w:type="dxa"/>
            <w:gridSpan w:val="2"/>
          </w:tcPr>
          <w:p w14:paraId="3E500591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1264DE" w14:paraId="31EED550" w14:textId="77777777">
        <w:tc>
          <w:tcPr>
            <w:tcW w:w="3015" w:type="dxa"/>
            <w:gridSpan w:val="3"/>
          </w:tcPr>
          <w:p w14:paraId="534A34D7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29.05.2024 r.</w:t>
            </w:r>
          </w:p>
        </w:tc>
        <w:tc>
          <w:tcPr>
            <w:tcW w:w="3030" w:type="dxa"/>
            <w:gridSpan w:val="5"/>
          </w:tcPr>
          <w:p w14:paraId="60DA0826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60" w:type="dxa"/>
            <w:gridSpan w:val="2"/>
          </w:tcPr>
          <w:p w14:paraId="27779729" w14:textId="77777777" w:rsidR="001264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                     i rozdzielenie Sylabusów przedmiotów</w:t>
            </w:r>
          </w:p>
        </w:tc>
      </w:tr>
    </w:tbl>
    <w:p w14:paraId="327A3A9A" w14:textId="77777777" w:rsidR="001264DE" w:rsidRDefault="001264DE">
      <w:pPr>
        <w:rPr>
          <w:rFonts w:ascii="Arial" w:eastAsia="Arial" w:hAnsi="Arial" w:cs="Arial"/>
          <w:sz w:val="20"/>
          <w:szCs w:val="20"/>
        </w:rPr>
      </w:pPr>
    </w:p>
    <w:p w14:paraId="1626E5F0" w14:textId="77777777" w:rsidR="001264DE" w:rsidRDefault="001264DE">
      <w:pPr>
        <w:rPr>
          <w:sz w:val="16"/>
          <w:szCs w:val="16"/>
        </w:rPr>
      </w:pPr>
    </w:p>
    <w:p w14:paraId="6D4FE04E" w14:textId="77777777" w:rsidR="001264DE" w:rsidRDefault="001264DE"/>
    <w:sectPr w:rsidR="001264D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4DE"/>
    <w:rsid w:val="001264DE"/>
    <w:rsid w:val="008E5B6B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F2C27E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PgLRpvo6LFkm10nrCS8d4tl7Q==">CgMxLjA4AHIhMURGMlRReXB4N3QyQWEwSkJ3VnRpVDRCYkdQQU9oNFU0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3041</Words>
  <Characters>18251</Characters>
  <Application>Microsoft Office Word</Application>
  <DocSecurity>0</DocSecurity>
  <Lines>152</Lines>
  <Paragraphs>42</Paragraphs>
  <ScaleCrop>false</ScaleCrop>
  <Company/>
  <LinksUpToDate>false</LinksUpToDate>
  <CharactersWithSpaces>21250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2024-12-16T23:03:00Z</dcterms:created>
  <dcterms:modified xsi:type="dcterms:W3CDTF">2024-12-16T23:03:00Z</dcterms:modified>
</cp:coreProperties>
</file>