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eastAsia="Arial" w:cs="Arial"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>Akademia Muzyczna im. Karola Lipińskiego we Wrocławiu</w:t>
      </w:r>
    </w:p>
    <w:tbl>
      <w:tblPr>
        <w:tblStyle w:val="Table1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2279"/>
        <w:gridCol w:w="467"/>
        <w:gridCol w:w="248"/>
        <w:gridCol w:w="968"/>
        <w:gridCol w:w="367"/>
        <w:gridCol w:w="1195"/>
        <w:gridCol w:w="97"/>
        <w:gridCol w:w="381"/>
        <w:gridCol w:w="1362"/>
        <w:gridCol w:w="1698"/>
      </w:tblGrid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Improwizacja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Jednostka prowadząca przedmiot: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Wydział Instrumentalny, Katedra Instrumentów Dętych, Perkusji i Akordeonu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Kierunek: </w:t>
            </w:r>
            <w:r>
              <w:rPr>
                <w:rFonts w:eastAsia="Arial" w:cs="Arial" w:ascii="Arial" w:hAnsi="Arial"/>
                <w:sz w:val="20"/>
                <w:szCs w:val="20"/>
              </w:rPr>
              <w:t>Instrumentalistyka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Zakres: </w:t>
            </w:r>
            <w:r>
              <w:rPr>
                <w:rFonts w:eastAsia="Arial" w:cs="Arial" w:ascii="Arial" w:hAnsi="Arial"/>
                <w:sz w:val="20"/>
                <w:szCs w:val="20"/>
              </w:rPr>
              <w:t>Akordeon -  profil kameralny                        i solistyczny</w:t>
            </w:r>
          </w:p>
        </w:tc>
      </w:tr>
      <w:tr>
        <w:trPr/>
        <w:tc>
          <w:tcPr>
            <w:tcW w:w="43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Arial" w:cs="Arial" w:ascii="Arial" w:hAnsi="Arial"/>
                <w:sz w:val="20"/>
                <w:szCs w:val="20"/>
              </w:rPr>
              <w:t>2-letnie studia stacjonarne/niestacjonarne II stopnia</w:t>
            </w:r>
          </w:p>
        </w:tc>
        <w:tc>
          <w:tcPr>
            <w:tcW w:w="47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Arial" w:cs="Arial" w:ascii="Arial" w:hAnsi="Arial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Forma zajęć: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 ćwiczenia</w:t>
            </w:r>
          </w:p>
        </w:tc>
        <w:tc>
          <w:tcPr>
            <w:tcW w:w="28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Arial" w:cs="Arial" w:ascii="Arial" w:hAnsi="Arial"/>
                <w:sz w:val="20"/>
                <w:szCs w:val="20"/>
              </w:rPr>
              <w:t>grupowe</w:t>
            </w:r>
          </w:p>
        </w:tc>
        <w:tc>
          <w:tcPr>
            <w:tcW w:w="3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Arial" w:cs="Arial" w:ascii="Arial" w:hAnsi="Arial"/>
                <w:sz w:val="20"/>
                <w:szCs w:val="20"/>
              </w:rPr>
              <w:t>Polski, angielski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120" w:after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dr hab. Rafał Łuc, prof. AMKL, </w:t>
            </w:r>
            <w:r>
              <w:rPr>
                <w:rFonts w:eastAsia="Arial" w:cs="Arial" w:ascii="Arial" w:hAnsi="Arial"/>
                <w:sz w:val="20"/>
                <w:szCs w:val="20"/>
              </w:rPr>
              <w:t xml:space="preserve">dr hab. Piotr Kałużny,                                </w:t>
            </w:r>
            <w:r>
              <w:rPr>
                <w:rFonts w:eastAsia="Arial" w:cs="Arial" w:ascii="Arial" w:hAnsi="Arial"/>
                <w:sz w:val="20"/>
                <w:szCs w:val="20"/>
              </w:rPr>
              <w:t>dr hab. Zbigniew Łuc,</w:t>
            </w:r>
            <w:r>
              <w:rPr>
                <w:rFonts w:eastAsia="Arial" w:cs="Arial" w:ascii="Arial" w:hAnsi="Arial"/>
                <w:sz w:val="20"/>
                <w:szCs w:val="20"/>
              </w:rPr>
              <w:t>mgr Maciej Mazurek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Umiejętność swobodnej transpozycji motywów i zdań muzycznych.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Swoboda w zastosowaniu modulacji oraz kadencjonowaniu.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Poznanie wzorów i praw rządzących sztuką improwizacji historycznej w oparciu o wzorce z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literatury przedmiotu głównego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WSTĘPNE</w:t>
            </w:r>
          </w:p>
          <w:p>
            <w:pPr>
              <w:pStyle w:val="Normal"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umiejętności i wiedza z zakresu harmonii na poziomie ukończenia studiów I stopnia – zakres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akordeon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opanowanie kompetencji instrumentalnych na poziomie właściwym dla danego etapu kształcenia</w:t>
            </w:r>
          </w:p>
          <w:p>
            <w:pPr>
              <w:pStyle w:val="Normal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>
          <w:trHeight w:val="195" w:hRule="atLeast"/>
        </w:trPr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Usystematyzowanie wiedzy i umiejętności grania skal muzycznych, interwałów, pochodów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harmonicznych (modulacje).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Harmonizowanie melodii.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Transponowanie przebiegów jednogłosowych i struktur harmonicznych.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Zebranie cech wykonawczych charakterystycznych dla poszczególnych (wybranych) stylów i epok</w:t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   </w:t>
            </w:r>
            <w:r>
              <w:rPr>
                <w:rFonts w:eastAsia="Arial" w:cs="Arial" w:ascii="Arial" w:hAnsi="Arial"/>
                <w:sz w:val="20"/>
                <w:szCs w:val="20"/>
              </w:rPr>
              <w:t>wraz z próbami ich użycia.</w:t>
            </w:r>
          </w:p>
          <w:p>
            <w:pPr>
              <w:pStyle w:val="Normal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EFEKTY UCZENIA SIĘ</w:t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Wiedza: absolwent zna i rozumie</w:t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K_W07 - posiada głębokie zrozumienie wzajemnych relacji pomiędzy teoretycznymi i praktycznymi elementami studiów oraz zdolność do integrowania nabytej wiedzy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K_W09 -poprzez indywidualną pracę poszerza wiedzę dotyczącą improwizacji; jeżeli improwizacja jest związana ze specjalnością i zawarta w programie kształcenia, absolwent powinien dysponować szeroką wiedzą umożliwiającą swobodną improwizację w różnych kontekstach (A+B+E)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Umiejętności: absolwent potrafi</w:t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K_U01 - posiada wysoko rozwiniętą osobowość artystyczną umożliwiającą tworzenie, realizowanie i wyrażanie własnych koncepcji artystycznych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K_U03 - podczas realizacji własnych koncepcji artystycznych wykazuje się umiejętnością świadomego zastosowania wiedzy dotyczącej elementów dzieła muzycznego i obowiązujących wzorców formalnych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K_U06 - jest zdolny do funkcjonowania w różnych formacjach zespołowych i posiada umiejętność współdziałania z innymi artystami w różnego typu zespołach oraz w ramach innych wspólnych prac i projektów, także o charakterze multidyscyplinarnym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K_U10 - posiada umiejętność dogłębnego rozumienia i kontrolowania struktur rytmicznych i metrorytmicznych oraz aspektów dotyczących aplikatury, smyczkowania, pedalizacji, frazowania, struktury harmonicznej itp. opracowywanych utworów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K_U14 - posiada umiejętność swobodnego kształtowania muzyki w sposób umożliwiający odejście od zapisanego tekstu nutowego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K_U15 - posiada umiejętność improwizowania na bazie wykonywanego utworu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K_U16 - posiada umiejętność transponowania przebiegów melodyczno-harmonicznych - jeżeli improwizacja związana jest ze specjalnością, absolwenci powinni osiągnąć wysoki poziom biegłości w sztuce improwizacji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Kompetencje społeczne: absolwent jest gotów do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K_K01 - jest w pełni kompetentnym i samodzielnym artystą, zdolnym do świadomego integrowania zdobytej wiedzy w obrębie specjalności oraz w ramach innych szeroko pojętych działań kulturotwórczych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K_K04 - posiada umiejętność krytycznej oceny własnych działań twórczych i artystycznych oraz umie poddać takiej ocenie inne przedsięwzięcia z zakresu kultury, sztuki i innych dziedzin działalności artystycznej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NAKŁAD PRACY STUDENTA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Rok</w:t>
            </w:r>
          </w:p>
        </w:tc>
        <w:tc>
          <w:tcPr>
            <w:tcW w:w="32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</w:t>
            </w:r>
          </w:p>
        </w:tc>
        <w:tc>
          <w:tcPr>
            <w:tcW w:w="35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II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Semestr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4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Punkty ECTS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Liczba godzin w tygodniu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1</w:t>
            </w:r>
          </w:p>
        </w:tc>
      </w:tr>
      <w:tr>
        <w:trPr/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Rodzaj zaliczenia</w:t>
            </w:r>
          </w:p>
        </w:tc>
        <w:tc>
          <w:tcPr>
            <w:tcW w:w="16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zal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egz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  <w:p>
            <w:pPr>
              <w:pStyle w:val="Normal"/>
              <w:jc w:val="center"/>
              <w:rPr>
                <w:rFonts w:ascii="Arial" w:hAnsi="Arial" w:eastAsia="Arial" w:cs="Arial"/>
                <w:b/>
              </w:rPr>
            </w:pPr>
            <w:r>
              <w:rPr>
                <w:rFonts w:eastAsia="Arial" w:cs="Arial" w:ascii="Arial" w:hAnsi="Arial"/>
                <w:b/>
              </w:rPr>
              <w:t>WYMAGANIA KOŃCOWE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Po pierwszym semestrze – zaliczenie, po drugim – egzamin. Według podanych kryteriów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Kryteria oceny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Właściwa realizacja przerabianych zagadnień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Aktywność na zajęciach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 xml:space="preserve">● </w:t>
            </w:r>
            <w:r>
              <w:rPr>
                <w:rFonts w:eastAsia="Arial" w:cs="Arial" w:ascii="Arial" w:hAnsi="Arial"/>
                <w:sz w:val="20"/>
                <w:szCs w:val="20"/>
              </w:rPr>
              <w:t>Postęp w pracy nad materiałem</w:t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  <w:p>
            <w:pPr>
              <w:pStyle w:val="Normal"/>
              <w:tabs>
                <w:tab w:val="clear" w:pos="720"/>
                <w:tab w:val="center" w:pos="4536" w:leader="none"/>
                <w:tab w:val="right" w:pos="9072" w:leader="none"/>
              </w:tabs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LITERATURA</w:t>
            </w:r>
          </w:p>
          <w:p>
            <w:pPr>
              <w:pStyle w:val="Normal"/>
              <w:shd w:val="clear" w:fill="FFFFFF"/>
              <w:ind w:right="240"/>
              <w:jc w:val="both"/>
              <w:rPr>
                <w:rFonts w:ascii="Arial" w:hAnsi="Arial" w:eastAsia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color w:val="000000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sz w:val="20"/>
                <w:szCs w:val="20"/>
              </w:rPr>
              <w:t>Literatura (piśmiennictwo)</w:t>
            </w:r>
          </w:p>
          <w:p>
            <w:pPr>
              <w:pStyle w:val="Normal"/>
              <w:rPr>
                <w:rFonts w:ascii="Arial" w:hAnsi="Arial" w:eastAsia="Arial" w:cs="Arial"/>
                <w:b/>
                <w:sz w:val="20"/>
                <w:szCs w:val="20"/>
              </w:rPr>
            </w:pPr>
            <w:r>
              <w:rPr/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Markus Schwenkreis - Compendium Improvisation, Schwabe Verlag Basel 2018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Jesper Christensen – Die Grundlagen des Generalbassspiels im 18.Jahrhundert</w:t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  <w:p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Uwaga: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</w:rPr>
            </w:pPr>
            <w:r>
              <w:rPr>
                <w:rFonts w:eastAsia="Arial" w:cs="Arial" w:ascii="Arial" w:hAnsi="Arial"/>
                <w:b/>
                <w:color w:val="000000"/>
              </w:rPr>
              <w:t>MODYFIKACJE SYLABUSA</w:t>
            </w:r>
          </w:p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Data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b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b/>
                <w:color w:val="000000"/>
                <w:sz w:val="20"/>
                <w:szCs w:val="20"/>
              </w:rPr>
              <w:t>Czego dotyczy modyfikacja</w:t>
            </w:r>
          </w:p>
        </w:tc>
      </w:tr>
      <w:tr>
        <w:trPr/>
        <w:tc>
          <w:tcPr>
            <w:tcW w:w="29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28.05.2024 r.</w:t>
            </w:r>
          </w:p>
        </w:tc>
        <w:tc>
          <w:tcPr>
            <w:tcW w:w="30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Adam Jezierzański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fill="FFFFFF"/>
              <w:ind w:right="240"/>
              <w:jc w:val="center"/>
              <w:rPr>
                <w:rFonts w:ascii="Arial" w:hAnsi="Arial" w:eastAsia="Arial" w:cs="Arial"/>
                <w:color w:val="000000"/>
                <w:sz w:val="20"/>
                <w:szCs w:val="20"/>
              </w:rPr>
            </w:pPr>
            <w:r>
              <w:rPr>
                <w:rFonts w:eastAsia="Arial" w:cs="Arial" w:ascii="Arial" w:hAnsi="Arial"/>
                <w:sz w:val="20"/>
                <w:szCs w:val="20"/>
              </w:rPr>
              <w:t>Forma graficzna</w:t>
            </w:r>
          </w:p>
        </w:tc>
      </w:tr>
    </w:tbl>
    <w:p>
      <w:pPr>
        <w:pStyle w:val="Normal"/>
        <w:rPr>
          <w:rFonts w:ascii="Arial" w:hAnsi="Arial" w:eastAsia="Arial" w:cs="Arial"/>
          <w:sz w:val="20"/>
          <w:szCs w:val="20"/>
        </w:rPr>
      </w:pPr>
      <w:r>
        <w:rPr>
          <w:rFonts w:eastAsia="Arial" w:cs="Arial" w:ascii="Arial" w:hAnsi="Arial"/>
          <w:sz w:val="20"/>
          <w:szCs w:val="20"/>
        </w:rPr>
      </w:r>
    </w:p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75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Cambria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rsid w:val="008709e9"/>
    <w:pPr>
      <w:widowControl/>
      <w:suppressAutoHyphens w:val="true"/>
      <w:bidi w:val="0"/>
      <w:spacing w:lineRule="auto" w:line="240" w:before="0" w:after="0"/>
      <w:jc w:val="left"/>
    </w:pPr>
    <w:rPr>
      <w:rFonts w:ascii="Cambria" w:hAnsi="Cambria" w:eastAsia="Cambria" w:cs="Times New Roman"/>
      <w:color w:val="auto"/>
      <w:kern w:val="0"/>
      <w:sz w:val="24"/>
      <w:szCs w:val="24"/>
      <w:lang w:val="pl-PL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normal1" w:default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Cambria" w:hAnsi="Cambria" w:eastAsia="Cambria" w:cs="Cambria"/>
      <w:color w:val="auto"/>
      <w:kern w:val="0"/>
      <w:sz w:val="24"/>
      <w:szCs w:val="24"/>
      <w:lang w:val="pl-PL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TableNormal">
    <w:name w:val="Table Normal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8709e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yHP9zXtl5BRz4zLSqvagKQRB8Vw==">CgMxLjA4AHIhMVk1Uk96VjlLNW5RcVQ0emNFVGFqSzVsRU1kT2FBNFFS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LibreOffice/24.2.5.2$MacOSX_X86_64 LibreOffice_project/bffef4ea93e59bebbeaf7f431bb02b1a39ee8a59</Application>
  <AppVersion>15.0000</AppVersion>
  <Pages>3</Pages>
  <Words>538</Words>
  <Characters>3809</Characters>
  <CharactersWithSpaces>4338</CharactersWithSpaces>
  <Paragraphs>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2024-04-16T12:44:00Z</dcterms:created>
  <dc:creator>Helena Tomaszek-Plewa</dc:creator>
  <dc:description/>
  <dc:language>pl-PL</dc:language>
  <cp:lastModifiedBy/>
  <dcterms:modified xsi:type="dcterms:W3CDTF">2025-01-16T23:39:44Z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