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FE6C" w14:textId="77777777" w:rsidR="00EF0CBD" w:rsidRDefault="00000000">
      <w:pPr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2"/>
          <w:szCs w:val="32"/>
        </w:rPr>
        <w:t>Akademia Muzyczna im. Karola Lipińskiego we Wrocławiu</w:t>
      </w:r>
    </w:p>
    <w:tbl>
      <w:tblPr>
        <w:tblStyle w:val="af5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1"/>
        <w:gridCol w:w="473"/>
        <w:gridCol w:w="269"/>
        <w:gridCol w:w="376"/>
        <w:gridCol w:w="994"/>
        <w:gridCol w:w="124"/>
        <w:gridCol w:w="1177"/>
        <w:gridCol w:w="391"/>
        <w:gridCol w:w="727"/>
        <w:gridCol w:w="1146"/>
        <w:gridCol w:w="1104"/>
      </w:tblGrid>
      <w:tr w:rsidR="00EF0CBD" w14:paraId="5D044E1C" w14:textId="77777777">
        <w:tc>
          <w:tcPr>
            <w:tcW w:w="9062" w:type="dxa"/>
            <w:gridSpan w:val="11"/>
          </w:tcPr>
          <w:p w14:paraId="7C0B6A92" w14:textId="77777777" w:rsidR="00EF0C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Cambria" w:eastAsia="Cambria" w:hAnsi="Cambria" w:cs="Cambria"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Wiolonczela - Instrument główny 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>/</w:t>
            </w:r>
            <w:r>
              <w:rPr>
                <w:rFonts w:ascii="Cambria" w:eastAsia="Cambria" w:hAnsi="Cambria" w:cs="Cambria"/>
                <w:b/>
                <w:color w:val="FFFFFF"/>
                <w:sz w:val="20"/>
                <w:szCs w:val="20"/>
              </w:rPr>
              <w:t xml:space="preserve"> Kod przedmiotu:</w:t>
            </w:r>
            <w:r>
              <w:rPr>
                <w:rFonts w:ascii="Cambria" w:eastAsia="Cambria" w:hAnsi="Cambria" w:cs="Cambria"/>
                <w:color w:val="FFFFFF"/>
                <w:sz w:val="20"/>
                <w:szCs w:val="20"/>
              </w:rPr>
              <w:t xml:space="preserve"> I1-01</w:t>
            </w:r>
          </w:p>
        </w:tc>
      </w:tr>
      <w:tr w:rsidR="00EF0CBD" w14:paraId="633F7941" w14:textId="77777777">
        <w:tc>
          <w:tcPr>
            <w:tcW w:w="9062" w:type="dxa"/>
            <w:gridSpan w:val="11"/>
          </w:tcPr>
          <w:p w14:paraId="093577BE" w14:textId="77777777" w:rsidR="00EF0CB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Wydział Instrumentalny, Katedra Instrumentów Smyczkowych</w:t>
            </w:r>
          </w:p>
        </w:tc>
      </w:tr>
      <w:tr w:rsidR="00EF0CBD" w14:paraId="2B6C8128" w14:textId="77777777">
        <w:tc>
          <w:tcPr>
            <w:tcW w:w="4393" w:type="dxa"/>
            <w:gridSpan w:val="5"/>
          </w:tcPr>
          <w:p w14:paraId="151BAC86" w14:textId="77777777" w:rsidR="00EF0CB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Kierunek: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Instrumentalistyka</w:t>
            </w:r>
          </w:p>
        </w:tc>
        <w:tc>
          <w:tcPr>
            <w:tcW w:w="4669" w:type="dxa"/>
            <w:gridSpan w:val="6"/>
          </w:tcPr>
          <w:p w14:paraId="61B65876" w14:textId="77777777" w:rsidR="00EF0CB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Zakres: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Wiolonczela </w:t>
            </w:r>
          </w:p>
        </w:tc>
      </w:tr>
      <w:tr w:rsidR="00EF0CBD" w14:paraId="18D2086E" w14:textId="77777777">
        <w:tc>
          <w:tcPr>
            <w:tcW w:w="4393" w:type="dxa"/>
            <w:gridSpan w:val="5"/>
          </w:tcPr>
          <w:p w14:paraId="7CA3B0A5" w14:textId="77777777" w:rsidR="00EF0CB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3-letnie studia stacjonarne/niestacjonarne I stopnia</w:t>
            </w:r>
          </w:p>
        </w:tc>
        <w:tc>
          <w:tcPr>
            <w:tcW w:w="4669" w:type="dxa"/>
            <w:gridSpan w:val="6"/>
          </w:tcPr>
          <w:p w14:paraId="2EBCB755" w14:textId="77777777" w:rsidR="00EF0CB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ogólnoakademicki</w:t>
            </w:r>
            <w:proofErr w:type="spellEnd"/>
          </w:p>
        </w:tc>
      </w:tr>
      <w:tr w:rsidR="00EF0CBD" w14:paraId="060D7C2A" w14:textId="77777777">
        <w:tc>
          <w:tcPr>
            <w:tcW w:w="2754" w:type="dxa"/>
            <w:gridSpan w:val="2"/>
          </w:tcPr>
          <w:p w14:paraId="4C9A218D" w14:textId="77777777" w:rsidR="00EF0C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Forma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przedmiot główny</w:t>
            </w:r>
          </w:p>
        </w:tc>
        <w:tc>
          <w:tcPr>
            <w:tcW w:w="2940" w:type="dxa"/>
            <w:gridSpan w:val="5"/>
          </w:tcPr>
          <w:p w14:paraId="500603E6" w14:textId="77777777" w:rsidR="00EF0CB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Rodzaj zajęć: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indywidualne</w:t>
            </w:r>
          </w:p>
        </w:tc>
        <w:tc>
          <w:tcPr>
            <w:tcW w:w="3368" w:type="dxa"/>
            <w:gridSpan w:val="4"/>
          </w:tcPr>
          <w:p w14:paraId="11D07B0E" w14:textId="77777777" w:rsidR="00EF0CBD" w:rsidRDefault="00000000">
            <w:pPr>
              <w:spacing w:before="120" w:after="12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polski,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możliwośc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prowadzenia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zajęc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́ w innych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językach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: angielski, niemiecki </w:t>
            </w:r>
          </w:p>
        </w:tc>
      </w:tr>
      <w:tr w:rsidR="00EF0CBD" w14:paraId="7D47300F" w14:textId="77777777">
        <w:tc>
          <w:tcPr>
            <w:tcW w:w="9062" w:type="dxa"/>
            <w:gridSpan w:val="11"/>
          </w:tcPr>
          <w:p w14:paraId="4E6113F3" w14:textId="77777777" w:rsidR="00EF0CB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Koordynator przedmiotu:</w:t>
            </w:r>
          </w:p>
        </w:tc>
      </w:tr>
      <w:tr w:rsidR="00EF0CBD" w14:paraId="6D13DA36" w14:textId="77777777">
        <w:tc>
          <w:tcPr>
            <w:tcW w:w="9062" w:type="dxa"/>
            <w:gridSpan w:val="11"/>
          </w:tcPr>
          <w:p w14:paraId="2F0BA709" w14:textId="3FAC535E" w:rsidR="00EF0CBD" w:rsidRDefault="00000000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prof. dr hab. Lidia Grzanka-Urbaniak, prof. dr hab. Urszula Marciniec-Mazur, dr hab. Marcin Misiak, </w:t>
            </w:r>
            <w:r w:rsidR="00C75EE2">
              <w:rPr>
                <w:rFonts w:ascii="Cambria" w:eastAsia="Cambria" w:hAnsi="Cambria" w:cs="Cambria"/>
                <w:sz w:val="20"/>
                <w:szCs w:val="20"/>
              </w:rPr>
              <w:t xml:space="preserve">dr Tomasz </w:t>
            </w:r>
            <w:proofErr w:type="spellStart"/>
            <w:r w:rsidR="00C75EE2">
              <w:rPr>
                <w:rFonts w:ascii="Cambria" w:eastAsia="Cambria" w:hAnsi="Cambria" w:cs="Cambria"/>
                <w:sz w:val="20"/>
                <w:szCs w:val="20"/>
              </w:rPr>
              <w:t>Daroch</w:t>
            </w:r>
            <w:proofErr w:type="spellEnd"/>
            <w:r w:rsidR="00C75EE2">
              <w:rPr>
                <w:rFonts w:ascii="Cambria" w:eastAsia="Cambria" w:hAnsi="Cambria" w:cs="Cambria"/>
                <w:sz w:val="20"/>
                <w:szCs w:val="20"/>
              </w:rPr>
              <w:t xml:space="preserve">,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dr Krzysztof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Karpeta</w:t>
            </w:r>
            <w:proofErr w:type="spellEnd"/>
            <w:r w:rsidR="002560E4">
              <w:rPr>
                <w:rFonts w:ascii="Cambria" w:eastAsia="Cambria" w:hAnsi="Cambria" w:cs="Cambria"/>
                <w:sz w:val="20"/>
                <w:szCs w:val="20"/>
              </w:rPr>
              <w:t>,</w:t>
            </w:r>
            <w:r w:rsidR="00C75EE2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155A43">
              <w:rPr>
                <w:rFonts w:ascii="Cambria" w:eastAsia="Cambria" w:hAnsi="Cambria" w:cs="Cambria"/>
                <w:sz w:val="20"/>
                <w:szCs w:val="20"/>
              </w:rPr>
              <w:t>mgr Michał Bień</w:t>
            </w:r>
          </w:p>
        </w:tc>
      </w:tr>
      <w:tr w:rsidR="00EF0CBD" w14:paraId="44BE285F" w14:textId="77777777">
        <w:tc>
          <w:tcPr>
            <w:tcW w:w="9062" w:type="dxa"/>
            <w:gridSpan w:val="11"/>
          </w:tcPr>
          <w:p w14:paraId="2DA73092" w14:textId="77777777" w:rsidR="00EF0CBD" w:rsidRDefault="00EF0CB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1FF1A8C" w14:textId="77777777" w:rsidR="00EF0CB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CELE PRZEDMIOTU</w:t>
            </w:r>
          </w:p>
          <w:p w14:paraId="32AA279B" w14:textId="77777777" w:rsidR="00EF0CBD" w:rsidRDefault="00EF0CBD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EF0CBD" w14:paraId="432325E8" w14:textId="77777777">
        <w:tc>
          <w:tcPr>
            <w:tcW w:w="9062" w:type="dxa"/>
            <w:gridSpan w:val="11"/>
          </w:tcPr>
          <w:p w14:paraId="4E1FA4CB" w14:textId="77777777" w:rsidR="00EF0CB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Przekazanie podstawowego zasobu wiedzy i umiejętności warsztatowych oraz artystycznych.</w:t>
            </w:r>
          </w:p>
          <w:p w14:paraId="2F01E93F" w14:textId="77777777" w:rsidR="00EF0CB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Osiągnięcie przez studenta umiejętności swobodnego i kreatywnego posługiwania się środkami przekazu artystycznego w obrębie specjalności, tworzenia i realizowania własnych koncepcji artystycznych, stosując różne środki ekspresji artystycznej.</w:t>
            </w:r>
          </w:p>
          <w:p w14:paraId="775DE622" w14:textId="77777777" w:rsidR="00EF0CB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Wspieranie studenta w jego dążeniu do intensywnego rozwoju, wstępne ukierunkowanie na właściwą jego predyspozycjom dalszą specjalizację.</w:t>
            </w:r>
          </w:p>
          <w:p w14:paraId="685294CB" w14:textId="77777777" w:rsidR="00EF0CB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Przygotowanie studenta do podjęcia studiów II stopnia. </w:t>
            </w:r>
          </w:p>
        </w:tc>
      </w:tr>
      <w:tr w:rsidR="00EF0CBD" w14:paraId="60087DA3" w14:textId="77777777">
        <w:tc>
          <w:tcPr>
            <w:tcW w:w="9062" w:type="dxa"/>
            <w:gridSpan w:val="11"/>
          </w:tcPr>
          <w:p w14:paraId="36722048" w14:textId="77777777" w:rsidR="00EF0CBD" w:rsidRDefault="00EF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Cambria" w:eastAsia="Cambria" w:hAnsi="Cambria" w:cs="Cambria"/>
                <w:b/>
              </w:rPr>
            </w:pPr>
          </w:p>
          <w:p w14:paraId="534D2C51" w14:textId="77777777" w:rsidR="00EF0C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WSTĘPNE</w:t>
            </w:r>
          </w:p>
          <w:p w14:paraId="52AA082D" w14:textId="77777777" w:rsidR="00EF0CBD" w:rsidRDefault="00EF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F0CBD" w14:paraId="51EA95A5" w14:textId="77777777">
        <w:tc>
          <w:tcPr>
            <w:tcW w:w="9062" w:type="dxa"/>
            <w:gridSpan w:val="11"/>
          </w:tcPr>
          <w:p w14:paraId="40C8C782" w14:textId="77777777" w:rsidR="00EF0CB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Opanowanie wiedzy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ogólnomuzycznej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na poziomie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średniej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szkoły muzycznej.</w:t>
            </w:r>
          </w:p>
          <w:p w14:paraId="719A9247" w14:textId="77777777" w:rsidR="00EF0CB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18"/>
                <w:szCs w:val="18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kompetencji instrumentalnych na poziomie właściwym dla danego etapu kształcenia.</w:t>
            </w:r>
          </w:p>
        </w:tc>
      </w:tr>
      <w:tr w:rsidR="00EF0CBD" w14:paraId="2A1C89F6" w14:textId="77777777">
        <w:trPr>
          <w:trHeight w:val="195"/>
        </w:trPr>
        <w:tc>
          <w:tcPr>
            <w:tcW w:w="9062" w:type="dxa"/>
            <w:gridSpan w:val="11"/>
          </w:tcPr>
          <w:p w14:paraId="2F7BAB57" w14:textId="77777777" w:rsidR="00EF0CBD" w:rsidRDefault="00EF0CBD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3668FEA0" w14:textId="77777777" w:rsidR="00EF0CB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TREŚCI PROGRAMOWE</w:t>
            </w:r>
          </w:p>
          <w:p w14:paraId="74FD07AE" w14:textId="77777777" w:rsidR="00EF0CBD" w:rsidRDefault="00EF0CBD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F0CBD" w14:paraId="7D7CC647" w14:textId="77777777">
        <w:tc>
          <w:tcPr>
            <w:tcW w:w="9062" w:type="dxa"/>
            <w:gridSpan w:val="11"/>
          </w:tcPr>
          <w:p w14:paraId="23E55D7D" w14:textId="77777777" w:rsidR="00EF0CBD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Ustawienie prawidłowego aparatu gry na wiolonczeli - ewentualna korekta.</w:t>
            </w:r>
          </w:p>
          <w:p w14:paraId="314043F3" w14:textId="77777777" w:rsidR="00EF0CBD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Zapoznanie z historią i budową instrumentu.</w:t>
            </w:r>
          </w:p>
          <w:p w14:paraId="097B9C52" w14:textId="77777777" w:rsidR="00EF0CBD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Poznanie podstawowego zasobu repertuaru reprezentatywnego dla wiolonczeli z różnych epok i stylistyk w tym muzyki współczesnej.</w:t>
            </w:r>
          </w:p>
          <w:p w14:paraId="66289D80" w14:textId="77777777" w:rsidR="00EF0CBD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materiałem muzycznym umożliwiająca wszechstronny rozwój techniczny i muzyczny - dobranie programu pod indywidualne potrzeby i właściwości studenta.</w:t>
            </w:r>
          </w:p>
          <w:p w14:paraId="3F2F1BAE" w14:textId="77777777" w:rsidR="00EF0CBD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właściwą interpretacją tekstu muzycznego zgodną z intencją kompozytora wymogami stylistycznymi i kontekstem historycznym.</w:t>
            </w:r>
          </w:p>
          <w:p w14:paraId="0D45B66F" w14:textId="77777777" w:rsidR="00EF0CBD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Teoretyczne podstawy metodyki nauczania gry na wiolonczeli.</w:t>
            </w:r>
          </w:p>
          <w:p w14:paraId="46747A18" w14:textId="77777777" w:rsidR="00EF0CBD" w:rsidRDefault="00000000">
            <w:pPr>
              <w:numPr>
                <w:ilvl w:val="0"/>
                <w:numId w:val="4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Praca nad techniką: etiudy, gamy, pasaże - sprawdzanie tych umiejętności na kolokwium w trakcie semestru.</w:t>
            </w:r>
          </w:p>
        </w:tc>
      </w:tr>
      <w:tr w:rsidR="00EF0CBD" w14:paraId="0E6013D3" w14:textId="77777777">
        <w:tc>
          <w:tcPr>
            <w:tcW w:w="9062" w:type="dxa"/>
            <w:gridSpan w:val="11"/>
          </w:tcPr>
          <w:p w14:paraId="36CF90A6" w14:textId="77777777" w:rsidR="00EF0CBD" w:rsidRDefault="00EF0CBD">
            <w:pPr>
              <w:jc w:val="both"/>
              <w:rPr>
                <w:rFonts w:ascii="Cambria" w:eastAsia="Cambria" w:hAnsi="Cambria" w:cs="Cambria"/>
                <w:b/>
              </w:rPr>
            </w:pPr>
          </w:p>
          <w:p w14:paraId="53ECF7B6" w14:textId="77777777" w:rsidR="00EF0CB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EFEKTY UCZENIA SIĘ</w:t>
            </w:r>
          </w:p>
          <w:p w14:paraId="44E7DEED" w14:textId="77777777" w:rsidR="00EF0CBD" w:rsidRDefault="00EF0CBD">
            <w:pPr>
              <w:jc w:val="both"/>
              <w:rPr>
                <w:rFonts w:ascii="Cambria" w:eastAsia="Cambria" w:hAnsi="Cambria" w:cs="Cambria"/>
                <w:b/>
              </w:rPr>
            </w:pPr>
          </w:p>
        </w:tc>
      </w:tr>
      <w:tr w:rsidR="00EF0CBD" w14:paraId="249514AD" w14:textId="77777777">
        <w:tc>
          <w:tcPr>
            <w:tcW w:w="9062" w:type="dxa"/>
            <w:gridSpan w:val="11"/>
          </w:tcPr>
          <w:p w14:paraId="16E54472" w14:textId="77777777" w:rsidR="00EF0CBD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Wiedza: absolwent zna i rozumie</w:t>
            </w:r>
          </w:p>
          <w:p w14:paraId="747F8521" w14:textId="77777777" w:rsidR="00EF0CB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ogólną znajomość literatury muzycznej (K_W01) </w:t>
            </w:r>
          </w:p>
          <w:p w14:paraId="5B233A46" w14:textId="77777777" w:rsidR="00EF0CB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podstawowego repertuaru związanego z zakresem (K_W02) </w:t>
            </w:r>
          </w:p>
          <w:p w14:paraId="717F6FDC" w14:textId="77777777" w:rsidR="00EF0CB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umożliwiającą docieranie do niezbędnych informacji (książki, nagrania, materiały nutowe, Internet), ich analizowanie i interpretowanie we właściwy sposób (K_W04) </w:t>
            </w:r>
          </w:p>
          <w:p w14:paraId="40F3425C" w14:textId="77777777" w:rsidR="00EF0CB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orientuje się w piśmiennictwie dotyczącym kierunku studiów, zarówno w aspekcie historii danej dziedziny lub dyscypliny, jak też jej obecnej kondycji (dotyczy to także Internetu i e-learningu), (K_W05) </w:t>
            </w:r>
          </w:p>
          <w:p w14:paraId="4F458B6D" w14:textId="77777777" w:rsidR="00EF0CB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zrozumienie podstawowych linii rozwojowych w historii muzyki oraz orientację w związanej z tymi zagadnieniami literaturze piśmienniczej (dotyczy to także Internetu i e-learningu), (K_W06) </w:t>
            </w:r>
          </w:p>
          <w:p w14:paraId="3A02C3CB" w14:textId="77777777" w:rsidR="00EF0CB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rozpoznaje i definiuje wzajemne relacje zachodzące pomiędzy teoretycznymi i praktycznymi aspektami studiowania (K_W07) </w:t>
            </w:r>
          </w:p>
          <w:p w14:paraId="171E0B81" w14:textId="77777777" w:rsidR="00EF0CB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stylów muzycznych i związanych z nimi tradycji wykonawczych (K_W08) </w:t>
            </w:r>
          </w:p>
          <w:p w14:paraId="76AC15A6" w14:textId="77777777" w:rsidR="00EF0CB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muzyki współczesnej (K_W09) </w:t>
            </w:r>
          </w:p>
          <w:p w14:paraId="42C76D94" w14:textId="77777777" w:rsidR="00EF0CB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orientację w zakresie problematyki związanej z technologiami stosowanymi w muzyce oraz w zakresie rozwoju technologicznego związanego ze swoim zakresem (K_W10) </w:t>
            </w:r>
          </w:p>
          <w:p w14:paraId="77C38C5F" w14:textId="77777777" w:rsidR="00EF0CB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posiada podstawową wiedzę dotyczącą budowy własnego instrumentu i jego ewentualnej konserwacji, napraw, strojenia itp.(K_W11)</w:t>
            </w:r>
          </w:p>
          <w:p w14:paraId="23ED0EE7" w14:textId="77777777" w:rsidR="00EF0CB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ogólny zakres wiedzy dotyczący marketingowych, finansowych i prawnych aspektów zawodu muzyka, ze zwróceniem szczególnej uwagi na zagadnienia związane z prawem autorskim (K_W12) </w:t>
            </w:r>
          </w:p>
          <w:p w14:paraId="58616718" w14:textId="77777777" w:rsidR="00EF0CB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wiadomości w zakresie praktycznego zastosowania wiedzy o harmonii i zdolność analizowania pod tym kątem wykonywanego repertuaru (K_W13) </w:t>
            </w:r>
          </w:p>
          <w:p w14:paraId="2BBCDFE2" w14:textId="77777777" w:rsidR="00EF0CB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podstawową wiedzą z zakresu dyscyplin pokrewnych pozwalającą na realizację zadań zespołowych (także o charakterze interdyscyplinarnym) (K_W14) </w:t>
            </w:r>
          </w:p>
          <w:p w14:paraId="07E5A49E" w14:textId="77777777" w:rsidR="00EF0CB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wiedzę dotyczącą podstawowych koncepcji pedagogicznych i ich praktycznego zastosowania, dającą kwalifikacje do nauczania w swoim zakresie (K_W16) </w:t>
            </w:r>
          </w:p>
          <w:p w14:paraId="0FE8E7C4" w14:textId="77777777" w:rsidR="00EF0CBD" w:rsidRDefault="00EF0CBD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50FFDAD" w14:textId="77777777" w:rsidR="00EF0CBD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Umiejętności: absolwent potrafi</w:t>
            </w:r>
          </w:p>
          <w:p w14:paraId="0183CDE3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dysponuje umiejętnościami potrzebnymi do tworzenia i realizowania własnych koncepcji artystycznych (K_U01) </w:t>
            </w:r>
          </w:p>
          <w:p w14:paraId="387E307E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świadomy sposobów wykorzystywania swej intuicji, emocjonalności i wyobraźni w obszarze ekspresji artystycznej (K_U02) </w:t>
            </w:r>
          </w:p>
          <w:p w14:paraId="5C172000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zrozumienie wzajemnych relacji zachodzących pomiędzy rodzajem stosowanej w danym dziele ekspresji artystycznej a niesionym przez niego komunikatem (K_U03) </w:t>
            </w:r>
          </w:p>
          <w:p w14:paraId="7E337737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znajomość i umiejętność wykonywania reprezentatywnego repertuaru związanego z głównym kierunkiem studiów (K_U04) </w:t>
            </w:r>
          </w:p>
          <w:p w14:paraId="1771634E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wykorzystywania wiedzy dotyczącej podstawowych kryteriów stylistycznych wykonywanych utworów (K_U05) </w:t>
            </w:r>
          </w:p>
          <w:p w14:paraId="73FB7795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odczytania zapisu muzyki XX i XXI wieku (K_U06) </w:t>
            </w:r>
          </w:p>
          <w:p w14:paraId="11277D94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właściwego odczytania tekstu nutowego, biegłego i pełnego przekazania materiału muzycznego, zawartych w utworze idei i jego formy (K_U09) </w:t>
            </w:r>
          </w:p>
          <w:p w14:paraId="33094034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opanował warsztat techniczny potrzebny do profesjonalnej prezentacji muzycznej i jest świadomy problemów specyficznych dla danego instrumentu (intonacja, precyzja itp.), (K_U10) </w:t>
            </w:r>
          </w:p>
          <w:p w14:paraId="04F0CF87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przyswoił sobie dobre nawyki dotyczące techniki i postawy, umożliwiające operowanie ciałem w sposób (z punktu widzenia fizjologii) najbardziej wydajny i bezpieczny (K_U11) </w:t>
            </w:r>
          </w:p>
          <w:p w14:paraId="25563035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poprzez opanowanie efektywnych technik ćwiczenia wykazuje umiejętność samodzielnego doskonalenia warsztatu technicznego (K_U12) </w:t>
            </w:r>
          </w:p>
          <w:p w14:paraId="768423A3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rozumienia i kontrolowania struktur rytmicznych i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metrorytmicznych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oraz aspektów dotyczących aplikatury, frazowania, struktury harmonicznej itp. opracowywanych utworów (K_U13) </w:t>
            </w:r>
          </w:p>
          <w:p w14:paraId="465821DF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swobodnej ustnej i pisemnej wypowiedzi na temat interpretowania, tworzenia i odtwarzania muzyki oraz na temat kwestii dotyczących szeroko pojmowanych tematów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ogólnohumanistycznych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(K_U15) </w:t>
            </w:r>
          </w:p>
          <w:p w14:paraId="3E183304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podstawowe umiejętności kształtowania i tworzenia muzyki w sposób umożliwiający odejście od zapisanego tekstu nutowego (K_U17) </w:t>
            </w:r>
          </w:p>
          <w:p w14:paraId="4169F379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dzięki częstym występom publicznym wykazuje umiejętność radzenia sobie z różnymi stresowymi sytuacjami z nich wynikającymi (K_U18) </w:t>
            </w:r>
          </w:p>
          <w:p w14:paraId="18AE4CB0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wykazuje umiejętność brania pod uwagę specyficznych wymagań publiczności i innych okoliczności towarzyszących wykonaniu (jak np. reagowania na rozmaite warunki akustyczne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sal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), (K_U19) </w:t>
            </w:r>
          </w:p>
          <w:p w14:paraId="71C0CCB5" w14:textId="77777777" w:rsidR="00EF0CBD" w:rsidRDefault="00000000">
            <w:pPr>
              <w:numPr>
                <w:ilvl w:val="0"/>
                <w:numId w:val="5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wykazuje umiejętność praktycznego zastosowania wiedzy dotyczącej podstawowych koncepcji pedagogicznych, dającą kwalifikacje do nauczania w zakresie swej specjalności na poziomie podstawowym edukacji muzycznej (K_U20)</w:t>
            </w:r>
          </w:p>
          <w:p w14:paraId="0C7A349E" w14:textId="77777777" w:rsidR="00EF0CBD" w:rsidRDefault="00000000">
            <w:pP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Kompetencje społeczne: absolwent jest gotów do</w:t>
            </w:r>
          </w:p>
          <w:p w14:paraId="4741446D" w14:textId="77777777" w:rsidR="00EF0CB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gromadzić, analizować i w świadomy sposób interpretować potrzebne informacje (K_K01)</w:t>
            </w:r>
          </w:p>
          <w:p w14:paraId="2DEAD7D3" w14:textId="77777777" w:rsidR="00EF0CB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realizuje własne koncepcje i działania artystyczne oparte na zróżnicowanej stylistyce, wynikającej z wykorzystania wyobraźni, ekspresji i intuicji (K_K02) </w:t>
            </w:r>
          </w:p>
          <w:p w14:paraId="25668568" w14:textId="77777777" w:rsidR="00EF0CB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samooceny, jak też jest zdolny do budowania konstruktywnej krytyki w obrębie działań muzycznych, artystycznych oraz w obszarze szeroko pojmowanej kultury (K_K04) </w:t>
            </w:r>
          </w:p>
          <w:p w14:paraId="6918B2C2" w14:textId="77777777" w:rsidR="00EF0CB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definiowania własnych sądów i przemyśleń na tematy społeczne, naukowe i etyczne oraz umie je umiejscowić w obrębie własnej pracy artystycznej (K_K05) </w:t>
            </w:r>
          </w:p>
          <w:p w14:paraId="738E9D5B" w14:textId="77777777" w:rsidR="00EF0CB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zorganizowany podchodzi do rozwiązywania problemów dotyczących szeroko pojętych prac projektowych, jak również własnych działań artystycznych (K_K08) </w:t>
            </w:r>
          </w:p>
          <w:p w14:paraId="4137A6F1" w14:textId="77777777" w:rsidR="00EF0CB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i profesjonalny umie zaprezentować własną działalność artystyczną (K_K09) </w:t>
            </w:r>
          </w:p>
          <w:p w14:paraId="0F0C4132" w14:textId="77777777" w:rsidR="00EF0CB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umie posługiwać się fachową terminologią z zakresu dziedziny muzyki (K_K10)</w:t>
            </w:r>
          </w:p>
          <w:p w14:paraId="642DE63E" w14:textId="77777777" w:rsidR="00EF0CB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posiada umiejętność adaptowania się do nowych, zmiennych okoliczności, które mogą występować podczas wykonywania pracy zawodowej lub twórczej (K_K13) </w:t>
            </w:r>
          </w:p>
          <w:p w14:paraId="4FE6B283" w14:textId="77777777" w:rsidR="00EF0CB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jest zdolny do efektywnego wykorzystania wyobraźni, intuicji, twórczej postawy i samodzielnego myślenia w celu rozwiązywania problemów (K_K14) </w:t>
            </w:r>
          </w:p>
          <w:p w14:paraId="605B2B32" w14:textId="77777777" w:rsidR="00EF0CBD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 sposób świadomy kontroluje swoje emocje i zachowania (K_K15) </w:t>
            </w:r>
          </w:p>
        </w:tc>
      </w:tr>
      <w:tr w:rsidR="00EF0CBD" w14:paraId="26C083A3" w14:textId="77777777">
        <w:tc>
          <w:tcPr>
            <w:tcW w:w="9062" w:type="dxa"/>
            <w:gridSpan w:val="11"/>
          </w:tcPr>
          <w:p w14:paraId="0646FFD3" w14:textId="77777777" w:rsidR="00EF0CBD" w:rsidRDefault="00EF0CBD">
            <w:pPr>
              <w:jc w:val="center"/>
              <w:rPr>
                <w:rFonts w:ascii="Cambria" w:eastAsia="Cambria" w:hAnsi="Cambria" w:cs="Cambria"/>
                <w:b/>
              </w:rPr>
            </w:pPr>
          </w:p>
          <w:p w14:paraId="6CD1065C" w14:textId="77777777" w:rsidR="00EF0CB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NAKŁAD PRACY STUDENTA</w:t>
            </w:r>
          </w:p>
          <w:p w14:paraId="29EDE6EB" w14:textId="77777777" w:rsidR="00EF0CBD" w:rsidRDefault="00EF0CBD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F0CBD" w14:paraId="0C4ED46E" w14:textId="77777777">
        <w:tc>
          <w:tcPr>
            <w:tcW w:w="2281" w:type="dxa"/>
          </w:tcPr>
          <w:p w14:paraId="4286DBE2" w14:textId="77777777" w:rsidR="00EF0CB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Rok</w:t>
            </w:r>
          </w:p>
        </w:tc>
        <w:tc>
          <w:tcPr>
            <w:tcW w:w="2236" w:type="dxa"/>
            <w:gridSpan w:val="5"/>
          </w:tcPr>
          <w:p w14:paraId="4AAE3482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</w:t>
            </w:r>
          </w:p>
        </w:tc>
        <w:tc>
          <w:tcPr>
            <w:tcW w:w="2295" w:type="dxa"/>
            <w:gridSpan w:val="3"/>
          </w:tcPr>
          <w:p w14:paraId="18213D0A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</w:t>
            </w:r>
          </w:p>
        </w:tc>
        <w:tc>
          <w:tcPr>
            <w:tcW w:w="2250" w:type="dxa"/>
            <w:gridSpan w:val="2"/>
          </w:tcPr>
          <w:p w14:paraId="4E2F6BFE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III</w:t>
            </w:r>
          </w:p>
        </w:tc>
      </w:tr>
      <w:tr w:rsidR="00EF0CBD" w14:paraId="72284322" w14:textId="77777777">
        <w:tc>
          <w:tcPr>
            <w:tcW w:w="2281" w:type="dxa"/>
          </w:tcPr>
          <w:p w14:paraId="47383BAE" w14:textId="77777777" w:rsidR="00EF0CB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Semestr</w:t>
            </w:r>
          </w:p>
        </w:tc>
        <w:tc>
          <w:tcPr>
            <w:tcW w:w="1118" w:type="dxa"/>
            <w:gridSpan w:val="3"/>
          </w:tcPr>
          <w:p w14:paraId="53565322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</w:t>
            </w:r>
          </w:p>
        </w:tc>
        <w:tc>
          <w:tcPr>
            <w:tcW w:w="1118" w:type="dxa"/>
            <w:gridSpan w:val="2"/>
          </w:tcPr>
          <w:p w14:paraId="31C01FC9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</w:t>
            </w:r>
          </w:p>
        </w:tc>
        <w:tc>
          <w:tcPr>
            <w:tcW w:w="1177" w:type="dxa"/>
          </w:tcPr>
          <w:p w14:paraId="32903318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III</w:t>
            </w:r>
          </w:p>
        </w:tc>
        <w:tc>
          <w:tcPr>
            <w:tcW w:w="1118" w:type="dxa"/>
            <w:gridSpan w:val="2"/>
          </w:tcPr>
          <w:p w14:paraId="6104E7B9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IV</w:t>
            </w:r>
          </w:p>
        </w:tc>
        <w:tc>
          <w:tcPr>
            <w:tcW w:w="1146" w:type="dxa"/>
          </w:tcPr>
          <w:p w14:paraId="143A9367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</w:t>
            </w:r>
          </w:p>
        </w:tc>
        <w:tc>
          <w:tcPr>
            <w:tcW w:w="1104" w:type="dxa"/>
          </w:tcPr>
          <w:p w14:paraId="26359F2D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</w:t>
            </w:r>
          </w:p>
        </w:tc>
      </w:tr>
      <w:tr w:rsidR="00EF0CBD" w14:paraId="38A538AA" w14:textId="77777777">
        <w:tc>
          <w:tcPr>
            <w:tcW w:w="2281" w:type="dxa"/>
          </w:tcPr>
          <w:p w14:paraId="0DA45BA0" w14:textId="77777777" w:rsidR="00EF0CB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Punkty ECTS</w:t>
            </w:r>
          </w:p>
        </w:tc>
        <w:tc>
          <w:tcPr>
            <w:tcW w:w="1118" w:type="dxa"/>
            <w:gridSpan w:val="3"/>
          </w:tcPr>
          <w:p w14:paraId="755BCEBB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5E16D252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77" w:type="dxa"/>
          </w:tcPr>
          <w:p w14:paraId="2C8F6D54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18" w:type="dxa"/>
            <w:gridSpan w:val="2"/>
          </w:tcPr>
          <w:p w14:paraId="15620BAE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1146" w:type="dxa"/>
          </w:tcPr>
          <w:p w14:paraId="6D66D5B8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1104" w:type="dxa"/>
          </w:tcPr>
          <w:p w14:paraId="1D21E6F0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</w:tr>
      <w:tr w:rsidR="00EF0CBD" w14:paraId="3EDCD757" w14:textId="77777777">
        <w:tc>
          <w:tcPr>
            <w:tcW w:w="2281" w:type="dxa"/>
          </w:tcPr>
          <w:p w14:paraId="357BA36E" w14:textId="77777777" w:rsidR="00EF0CB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118" w:type="dxa"/>
            <w:gridSpan w:val="3"/>
          </w:tcPr>
          <w:p w14:paraId="63398C59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31CA26EC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77" w:type="dxa"/>
          </w:tcPr>
          <w:p w14:paraId="3343F77D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18" w:type="dxa"/>
            <w:gridSpan w:val="2"/>
          </w:tcPr>
          <w:p w14:paraId="517A4263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14:paraId="5A51B0D9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104" w:type="dxa"/>
          </w:tcPr>
          <w:p w14:paraId="0AFA495B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EF0CBD" w14:paraId="657E08C6" w14:textId="77777777">
        <w:tc>
          <w:tcPr>
            <w:tcW w:w="2281" w:type="dxa"/>
          </w:tcPr>
          <w:p w14:paraId="393DEFAF" w14:textId="77777777" w:rsidR="00EF0CBD" w:rsidRDefault="00000000">
            <w:pPr>
              <w:tabs>
                <w:tab w:val="left" w:pos="5491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Rodzaj zaliczenia</w:t>
            </w:r>
          </w:p>
        </w:tc>
        <w:tc>
          <w:tcPr>
            <w:tcW w:w="1118" w:type="dxa"/>
            <w:gridSpan w:val="3"/>
          </w:tcPr>
          <w:p w14:paraId="1820E691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413A01EC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77" w:type="dxa"/>
          </w:tcPr>
          <w:p w14:paraId="69688BE1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18" w:type="dxa"/>
            <w:gridSpan w:val="2"/>
          </w:tcPr>
          <w:p w14:paraId="6ACB2C13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46" w:type="dxa"/>
          </w:tcPr>
          <w:p w14:paraId="0F66BFFA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104" w:type="dxa"/>
          </w:tcPr>
          <w:p w14:paraId="73DFA306" w14:textId="77777777" w:rsidR="00EF0CBD" w:rsidRDefault="00000000">
            <w:pPr>
              <w:tabs>
                <w:tab w:val="left" w:pos="5491"/>
              </w:tabs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zal</w:t>
            </w:r>
            <w:proofErr w:type="spellEnd"/>
          </w:p>
        </w:tc>
      </w:tr>
      <w:tr w:rsidR="00EF0CBD" w14:paraId="28955F3C" w14:textId="77777777">
        <w:tc>
          <w:tcPr>
            <w:tcW w:w="9062" w:type="dxa"/>
            <w:gridSpan w:val="11"/>
          </w:tcPr>
          <w:p w14:paraId="2F238DD7" w14:textId="77777777" w:rsidR="00EF0CBD" w:rsidRDefault="00EF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  <w:p w14:paraId="020538E4" w14:textId="77777777" w:rsidR="00EF0CBD" w:rsidRDefault="00000000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WYMAGANIA KOŃCOWE</w:t>
            </w:r>
          </w:p>
          <w:p w14:paraId="1D6436C2" w14:textId="77777777" w:rsidR="00EF0CBD" w:rsidRDefault="00EF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</w:p>
        </w:tc>
      </w:tr>
      <w:tr w:rsidR="00EF0CBD" w14:paraId="18BFAFFD" w14:textId="77777777">
        <w:tc>
          <w:tcPr>
            <w:tcW w:w="9062" w:type="dxa"/>
            <w:gridSpan w:val="11"/>
          </w:tcPr>
          <w:p w14:paraId="05735878" w14:textId="77777777" w:rsidR="00EF0CBD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Publiczne wykonanie recitalu dyplomowego.</w:t>
            </w:r>
          </w:p>
          <w:p w14:paraId="351594A3" w14:textId="77777777" w:rsidR="00EF0CBD" w:rsidRDefault="00000000">
            <w:pPr>
              <w:numPr>
                <w:ilvl w:val="0"/>
                <w:numId w:val="6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Napisanie pracy dyplomowej i jej obrona.</w:t>
            </w:r>
          </w:p>
          <w:p w14:paraId="17F40F07" w14:textId="77777777" w:rsidR="00EF0CBD" w:rsidRDefault="00EF0CBD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8F142E8" w14:textId="77777777" w:rsidR="00EF0CBD" w:rsidRDefault="00000000">
            <w:p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Kryteria oceny:</w:t>
            </w:r>
          </w:p>
          <w:p w14:paraId="2AA07D13" w14:textId="77777777" w:rsidR="00EF0CBD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warsztat wykonawczy – umiejętności techniczne</w:t>
            </w:r>
          </w:p>
          <w:p w14:paraId="69EAFD9E" w14:textId="77777777" w:rsidR="00EF0CBD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opanowanie i zrozumienie tekstu muzycznego</w:t>
            </w:r>
          </w:p>
          <w:p w14:paraId="77108DAE" w14:textId="77777777" w:rsidR="00EF0CBD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logika narracji muzycznej </w:t>
            </w:r>
          </w:p>
          <w:p w14:paraId="51185302" w14:textId="77777777" w:rsidR="00EF0CBD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frazowanie </w:t>
            </w:r>
          </w:p>
          <w:p w14:paraId="2D3544E0" w14:textId="77777777" w:rsidR="00EF0CBD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umiejętność wypowiedzi w różnych stylach i formach muzycznych </w:t>
            </w:r>
          </w:p>
          <w:p w14:paraId="6FA01459" w14:textId="77777777" w:rsidR="00EF0CBD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kształtowanie dźwięku i jego jakość estetyczna</w:t>
            </w:r>
          </w:p>
          <w:p w14:paraId="6B398567" w14:textId="77777777" w:rsidR="00EF0CBD" w:rsidRDefault="00000000">
            <w:pPr>
              <w:numPr>
                <w:ilvl w:val="0"/>
                <w:numId w:val="2"/>
              </w:numP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intonacja </w:t>
            </w:r>
          </w:p>
        </w:tc>
      </w:tr>
      <w:tr w:rsidR="00EF0CBD" w14:paraId="0A9215CC" w14:textId="77777777">
        <w:tc>
          <w:tcPr>
            <w:tcW w:w="9062" w:type="dxa"/>
            <w:gridSpan w:val="11"/>
          </w:tcPr>
          <w:p w14:paraId="0CCF4239" w14:textId="77777777" w:rsidR="00EF0CBD" w:rsidRDefault="00EF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  <w:p w14:paraId="062C38DC" w14:textId="77777777" w:rsidR="00EF0C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LITERATURA</w:t>
            </w:r>
          </w:p>
          <w:p w14:paraId="698E1394" w14:textId="77777777" w:rsidR="00EF0CBD" w:rsidRDefault="00EF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Cambria" w:eastAsia="Cambria" w:hAnsi="Cambria" w:cs="Cambria"/>
              </w:rPr>
            </w:pPr>
          </w:p>
        </w:tc>
      </w:tr>
      <w:tr w:rsidR="00EF0CBD" w14:paraId="332FD3F2" w14:textId="77777777">
        <w:tc>
          <w:tcPr>
            <w:tcW w:w="9062" w:type="dxa"/>
            <w:gridSpan w:val="11"/>
          </w:tcPr>
          <w:p w14:paraId="215ADE58" w14:textId="77777777" w:rsidR="00EF0C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podstawowa</w:t>
            </w:r>
          </w:p>
          <w:p w14:paraId="3610A864" w14:textId="77777777" w:rsidR="00EF0C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Utwory na wiolonczelę solo, utwory na wiolonczelę solo z towarzyszeniem orkiestry, utwory na wiolonczelę z fortepianem, utwory kameralne – sonaty. Wybrane kompozycje ze wszystkich epok twórców takich jak, między innymi: J. S. Bach, 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Bach. L. Boccherini, J. Haydn, L. van Beethoven, C. M. von Weber, R. Schumann, F. Schubert, J. Brahms, F. Mendelssohn, E. Grieg,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Dvorak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P. Czajkowski, D. Popper, A.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Piatti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Bukinik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, C.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Davidow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, W. Lutosławski, Z. Stojowski, L. Różycki, K. Szymanowski, D. Szostakowicz, S. Prokofiew, S. Rachmaninow.</w:t>
            </w:r>
          </w:p>
          <w:p w14:paraId="3818D6AD" w14:textId="77777777" w:rsidR="00EF0CBD" w:rsidRDefault="00EF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2BF0763A" w14:textId="77777777" w:rsidR="00EF0C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Literatura (piśmiennictwo)</w:t>
            </w:r>
          </w:p>
          <w:p w14:paraId="42F45E92" w14:textId="77777777" w:rsidR="00EF0CB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 xml:space="preserve">Historia instrumentów muzycznych /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Curt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Sachs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przeł. Stanisław Olędzki. - Wyd. 2. -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Wydawnictwo Muzyczne, 1989. </w:t>
            </w:r>
          </w:p>
          <w:p w14:paraId="33DCD62A" w14:textId="77777777" w:rsidR="00EF0CBD" w:rsidRPr="002560E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Musical </w:t>
            </w:r>
            <w:proofErr w:type="gram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excellence :</w:t>
            </w:r>
            <w:proofErr w:type="gram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strategies and techniques to enhance performance / edited by Aaron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Williamon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-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Repr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- </w:t>
            </w:r>
            <w:proofErr w:type="gram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Oxford :</w:t>
            </w:r>
            <w:proofErr w:type="gram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Oxford University Press, 2011.</w:t>
            </w:r>
          </w:p>
          <w:p w14:paraId="3A10DBE8" w14:textId="77777777" w:rsidR="00EF0CBD" w:rsidRPr="002560E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Musical </w:t>
            </w:r>
            <w:proofErr w:type="gram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performance :</w:t>
            </w:r>
            <w:proofErr w:type="gram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a guide to understanding / edited by John Rink. - 8th </w:t>
            </w:r>
            <w:proofErr w:type="gram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print.-</w:t>
            </w:r>
            <w:proofErr w:type="gram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Cambridge Cambridge University Press, 2011. </w:t>
            </w:r>
          </w:p>
          <w:p w14:paraId="33D1142C" w14:textId="77777777" w:rsidR="00EF0CB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Die Musik in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Geschichte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und </w:t>
            </w:r>
            <w:proofErr w:type="spellStart"/>
            <w:proofErr w:type="gram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Gegenwart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allgemeine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Enzyklopaedie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der Musik: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Sachteil.Bd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1-9 /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begr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von Friedrich </w:t>
            </w:r>
            <w:proofErr w:type="gram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Blume ;</w:t>
            </w:r>
            <w:proofErr w:type="gram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hrsg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von Ludwig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Finscher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. - 2</w:t>
            </w:r>
            <w:proofErr w:type="gram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.,neubearb</w:t>
            </w:r>
            <w:proofErr w:type="gram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Ausg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>. - 1994. – hasła encyklopedyczne poświęcone poszczególnym instrumentom smyczkowym</w:t>
            </w:r>
          </w:p>
          <w:p w14:paraId="76FF9AFF" w14:textId="77777777" w:rsidR="00EF0CBD" w:rsidRPr="002560E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Das </w:t>
            </w:r>
            <w:proofErr w:type="spellStart"/>
            <w:proofErr w:type="gram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Orchester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Zeitschrift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fur deutsche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Orchesterkultur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und Rundfunk-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Chorwesen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Organer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Deutschen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Orchestervereinigung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- </w:t>
            </w:r>
            <w:proofErr w:type="gram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Mainz :</w:t>
            </w:r>
            <w:proofErr w:type="gram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Verlag Das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Orchester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1953-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czasopismo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.</w:t>
            </w:r>
          </w:p>
          <w:p w14:paraId="46EA1F9F" w14:textId="77777777" w:rsidR="00EF0CB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The New Grove dictionary of music and musicians / ed. by Stanley Sadie.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London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Macmillan, 1993. - hasła encyklopedyczne poświęcone poszczególnym instrumentom smyczkowym</w:t>
            </w:r>
          </w:p>
          <w:p w14:paraId="1ECC01B0" w14:textId="77777777" w:rsidR="00EF0CB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Problemy wykonawcze muzyki współczesnej / red. nauk. Irena Marciniak. - Zielona Góra WSP im. Tadeusza Kotarbińskiego, 1998.</w:t>
            </w:r>
          </w:p>
          <w:p w14:paraId="13697822" w14:textId="77777777" w:rsidR="00EF0CB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Przewodnik po muzyce kameralnej / Danuta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Gwizdalanka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- Wyd.2.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Wydawnictwo Muzyczne, 1998.</w:t>
            </w:r>
          </w:p>
          <w:p w14:paraId="503276DC" w14:textId="77777777" w:rsidR="00EF0CBD" w:rsidRPr="002560E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Strategies for teaching strings: building a successful string and orchestra program / Donald L. Hamann, Robert Gillespie. Hamann, Donald L. Wyd. 2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popr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New </w:t>
            </w:r>
            <w:proofErr w:type="gram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York :</w:t>
            </w:r>
            <w:proofErr w:type="gram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Oxford University Press, 2009.</w:t>
            </w:r>
          </w:p>
          <w:p w14:paraId="3B06ACD7" w14:textId="77777777" w:rsidR="00EF0CB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Mechanik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Ästhetik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Violoncellspiels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/ von Hugo Becker und Dago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Rynar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- 2.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Aufl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Wien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Universal Edition,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cop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1971. </w:t>
            </w:r>
          </w:p>
          <w:p w14:paraId="0A21828F" w14:textId="77777777" w:rsidR="00EF0CB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Nurt mimetyczny w literaturze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wiolonczelowej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w kontekście historii, budowy instrumentu, ikonografii oraz wykonawstwa wiolonczelowego / Urszula Mizia.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Katowice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Uniwersytet Śląski, 2012. </w:t>
            </w:r>
          </w:p>
          <w:p w14:paraId="429A623E" w14:textId="77777777" w:rsidR="00EF0CB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Specyfika wiolonczeli w kwartetach smyczkowych Henryka Mikołaja Góreckiego i twórcach muzyki kameralnej jego pokolenia / Piotr Janosik.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Katowice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Akademia Muzyczna im. Karola Szymanowskiego w Katowicach, 2011.</w:t>
            </w:r>
          </w:p>
          <w:p w14:paraId="37B7CA80" w14:textId="77777777" w:rsidR="00EF0CB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Studium o wiolonczeli /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Dimitrie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Gh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.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Dinicu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[tł. z jęz. rum. Fryderyka 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Wayda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].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Wydaw. Muzyczne, 1966.</w:t>
            </w:r>
          </w:p>
          <w:p w14:paraId="20E07282" w14:textId="77777777" w:rsidR="00EF0CB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Technika wiolonczelowa a zagadnienia wykonawstwa / Kazimierz Wiłkomirski.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Wydaw. Muzyczne, 1965. </w:t>
            </w:r>
          </w:p>
          <w:p w14:paraId="5D95AF2E" w14:textId="77777777" w:rsidR="00EF0CBD" w:rsidRPr="002560E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  <w:lang w:val="en-US"/>
              </w:rPr>
            </w:pPr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Das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Violoncell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und seine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Geschichte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[reprint] /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Wilh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Jos. v. </w:t>
            </w:r>
            <w:proofErr w:type="gram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Wasielewski ;</w:t>
            </w:r>
            <w:proofErr w:type="gram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dritte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vermehrte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Aufl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Von Waldemar von Wasielewski. - 3.,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vermehrte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Aufl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. - </w:t>
            </w:r>
            <w:proofErr w:type="gram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Wiesbaden :</w:t>
            </w:r>
            <w:proofErr w:type="gram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Dr. Martin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Saendig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>oHG</w:t>
            </w:r>
            <w:proofErr w:type="spellEnd"/>
            <w:r w:rsidRPr="002560E4">
              <w:rPr>
                <w:rFonts w:ascii="Cambria" w:eastAsia="Cambria" w:hAnsi="Cambria" w:cs="Cambria"/>
                <w:sz w:val="20"/>
                <w:szCs w:val="20"/>
                <w:lang w:val="en-US"/>
              </w:rPr>
              <w:t xml:space="preserve">, 1968. </w:t>
            </w:r>
          </w:p>
          <w:p w14:paraId="526E5C44" w14:textId="77777777" w:rsidR="00EF0CB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Wiolonczela od A do Z / Roman Suchecki. -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Wydaw. Muzyczne, 1982. </w:t>
            </w:r>
          </w:p>
          <w:p w14:paraId="6ED66D66" w14:textId="77777777" w:rsidR="00EF0CB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Współczesna technika gry na wiolonczeli / Maurice </w:t>
            </w:r>
            <w:proofErr w:type="spellStart"/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Eisenberg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;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[tł. z jęz. ang. Marta Hoffman-</w:t>
            </w:r>
            <w:proofErr w:type="spellStart"/>
            <w:r>
              <w:rPr>
                <w:rFonts w:ascii="Cambria" w:eastAsia="Cambria" w:hAnsi="Cambria" w:cs="Cambria"/>
                <w:sz w:val="20"/>
                <w:szCs w:val="20"/>
              </w:rPr>
              <w:t>Wodnicka</w:t>
            </w:r>
            <w:proofErr w:type="spell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].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>Kraków :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Polskie Wydawnictwo Muzyczne, 1981</w:t>
            </w:r>
          </w:p>
        </w:tc>
      </w:tr>
      <w:tr w:rsidR="00EF0CBD" w14:paraId="5D566029" w14:textId="77777777">
        <w:tc>
          <w:tcPr>
            <w:tcW w:w="9062" w:type="dxa"/>
            <w:gridSpan w:val="11"/>
          </w:tcPr>
          <w:p w14:paraId="4CE2C859" w14:textId="77777777" w:rsidR="00EF0C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lastRenderedPageBreak/>
              <w:t>Uwaga:</w:t>
            </w:r>
          </w:p>
          <w:p w14:paraId="332CEB94" w14:textId="77777777" w:rsidR="00EF0C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EF0CBD" w14:paraId="05FE1683" w14:textId="77777777">
        <w:tc>
          <w:tcPr>
            <w:tcW w:w="9062" w:type="dxa"/>
            <w:gridSpan w:val="11"/>
          </w:tcPr>
          <w:p w14:paraId="55B3E51A" w14:textId="77777777" w:rsidR="00EF0CBD" w:rsidRDefault="00EF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7168F8F9" w14:textId="77777777" w:rsidR="00EF0C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MODYFIKACJE SYLABUSA</w:t>
            </w:r>
          </w:p>
          <w:p w14:paraId="63246330" w14:textId="77777777" w:rsidR="00EF0CBD" w:rsidRDefault="00EF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EF0CBD" w14:paraId="49A4C13D" w14:textId="77777777">
        <w:tc>
          <w:tcPr>
            <w:tcW w:w="3023" w:type="dxa"/>
            <w:gridSpan w:val="3"/>
          </w:tcPr>
          <w:p w14:paraId="7FB24C8B" w14:textId="77777777" w:rsidR="00EF0C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Data</w:t>
            </w:r>
          </w:p>
        </w:tc>
        <w:tc>
          <w:tcPr>
            <w:tcW w:w="3062" w:type="dxa"/>
            <w:gridSpan w:val="5"/>
          </w:tcPr>
          <w:p w14:paraId="762F7019" w14:textId="77777777" w:rsidR="00EF0C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Imię i nazwisko</w:t>
            </w:r>
          </w:p>
        </w:tc>
        <w:tc>
          <w:tcPr>
            <w:tcW w:w="2977" w:type="dxa"/>
            <w:gridSpan w:val="3"/>
          </w:tcPr>
          <w:p w14:paraId="14EC55D0" w14:textId="77777777" w:rsidR="00EF0CB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Czego dotyczy modyfikacja</w:t>
            </w:r>
          </w:p>
        </w:tc>
      </w:tr>
      <w:tr w:rsidR="00EF0CBD" w14:paraId="696692C3" w14:textId="77777777">
        <w:trPr>
          <w:trHeight w:val="219"/>
        </w:trPr>
        <w:tc>
          <w:tcPr>
            <w:tcW w:w="3023" w:type="dxa"/>
            <w:gridSpan w:val="3"/>
          </w:tcPr>
          <w:p w14:paraId="50960F3C" w14:textId="77777777" w:rsidR="00EF0CBD" w:rsidRDefault="00EF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</w:rPr>
            </w:pPr>
          </w:p>
        </w:tc>
        <w:tc>
          <w:tcPr>
            <w:tcW w:w="3062" w:type="dxa"/>
            <w:gridSpan w:val="5"/>
          </w:tcPr>
          <w:p w14:paraId="27D354FA" w14:textId="77777777" w:rsidR="00EF0CBD" w:rsidRDefault="00EF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2977" w:type="dxa"/>
            <w:gridSpan w:val="3"/>
          </w:tcPr>
          <w:p w14:paraId="716FCF09" w14:textId="77777777" w:rsidR="00EF0CBD" w:rsidRDefault="00EF0C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1F1944D8" w14:textId="77777777" w:rsidR="00EF0CBD" w:rsidRDefault="00EF0CBD">
      <w:pPr>
        <w:rPr>
          <w:rFonts w:ascii="Cambria" w:eastAsia="Cambria" w:hAnsi="Cambria" w:cs="Cambria"/>
          <w:sz w:val="20"/>
          <w:szCs w:val="20"/>
        </w:rPr>
      </w:pPr>
    </w:p>
    <w:p w14:paraId="2772CB91" w14:textId="77777777" w:rsidR="00EF0CBD" w:rsidRDefault="00EF0CBD">
      <w:pPr>
        <w:rPr>
          <w:rFonts w:ascii="Cambria" w:eastAsia="Cambria" w:hAnsi="Cambria" w:cs="Cambria"/>
        </w:rPr>
      </w:pPr>
    </w:p>
    <w:sectPr w:rsidR="00EF0CB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86FD0"/>
    <w:multiLevelType w:val="multilevel"/>
    <w:tmpl w:val="9D6E180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245338"/>
    <w:multiLevelType w:val="multilevel"/>
    <w:tmpl w:val="9F5ADC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32394B"/>
    <w:multiLevelType w:val="multilevel"/>
    <w:tmpl w:val="531E16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D77827"/>
    <w:multiLevelType w:val="multilevel"/>
    <w:tmpl w:val="87CE4C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DAE229E"/>
    <w:multiLevelType w:val="multilevel"/>
    <w:tmpl w:val="7D6C3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CFC439E"/>
    <w:multiLevelType w:val="multilevel"/>
    <w:tmpl w:val="AF40C6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95C6173"/>
    <w:multiLevelType w:val="multilevel"/>
    <w:tmpl w:val="685E36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46C4CF7"/>
    <w:multiLevelType w:val="multilevel"/>
    <w:tmpl w:val="BECC29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D0454E2"/>
    <w:multiLevelType w:val="multilevel"/>
    <w:tmpl w:val="4A9EFE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37946403">
    <w:abstractNumId w:val="6"/>
  </w:num>
  <w:num w:numId="2" w16cid:durableId="189884029">
    <w:abstractNumId w:val="2"/>
  </w:num>
  <w:num w:numId="3" w16cid:durableId="1050149108">
    <w:abstractNumId w:val="5"/>
  </w:num>
  <w:num w:numId="4" w16cid:durableId="1688024658">
    <w:abstractNumId w:val="7"/>
  </w:num>
  <w:num w:numId="5" w16cid:durableId="1917666053">
    <w:abstractNumId w:val="4"/>
  </w:num>
  <w:num w:numId="6" w16cid:durableId="490295970">
    <w:abstractNumId w:val="8"/>
  </w:num>
  <w:num w:numId="7" w16cid:durableId="1647778683">
    <w:abstractNumId w:val="1"/>
  </w:num>
  <w:num w:numId="8" w16cid:durableId="210533652">
    <w:abstractNumId w:val="3"/>
  </w:num>
  <w:num w:numId="9" w16cid:durableId="195535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CBD"/>
    <w:rsid w:val="00155A43"/>
    <w:rsid w:val="001F10B6"/>
    <w:rsid w:val="002560E4"/>
    <w:rsid w:val="00471B17"/>
    <w:rsid w:val="00773FCD"/>
    <w:rsid w:val="00C75EE2"/>
    <w:rsid w:val="00EF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E1A889"/>
  <w15:docId w15:val="{50B29901-6BF4-C247-8237-696FF64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C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32DEF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341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03DD2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f5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sfD3DOz/mpoul4AgqabgWg8mw==">CgMxLjA4AHIhMWVEaGdpNU1HOEluT190cWQtVDFFeFlYVm5HWFZJeHk0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1707</Words>
  <Characters>10246</Characters>
  <Application>Microsoft Office Word</Application>
  <DocSecurity>0</DocSecurity>
  <Lines>85</Lines>
  <Paragraphs>23</Paragraphs>
  <ScaleCrop>false</ScaleCrop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4</cp:revision>
  <dcterms:created xsi:type="dcterms:W3CDTF">2024-11-28T22:36:00Z</dcterms:created>
  <dcterms:modified xsi:type="dcterms:W3CDTF">2024-12-05T22:49:00Z</dcterms:modified>
</cp:coreProperties>
</file>